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F157" w14:textId="1FECB19A" w:rsidR="0083113F" w:rsidRDefault="0083113F" w:rsidP="0083113F">
      <w:pPr>
        <w:rPr>
          <w:b/>
        </w:rPr>
      </w:pPr>
      <w:r>
        <w:rPr>
          <w:b/>
        </w:rPr>
        <w:t xml:space="preserve">                          PANEVĖŽIO LOPŠELIS – DARŽELIS  „PURIENA“</w:t>
      </w:r>
    </w:p>
    <w:p w14:paraId="18978175" w14:textId="582C8874" w:rsidR="0083113F" w:rsidRPr="000D062B" w:rsidRDefault="0083113F" w:rsidP="0083113F">
      <w:pPr>
        <w:rPr>
          <w:bCs/>
          <w:sz w:val="20"/>
          <w:szCs w:val="20"/>
          <w:u w:val="single"/>
        </w:rPr>
      </w:pPr>
      <w:r>
        <w:rPr>
          <w:b/>
        </w:rPr>
        <w:t xml:space="preserve">                             </w:t>
      </w:r>
      <w:r w:rsidRPr="000D062B">
        <w:rPr>
          <w:bCs/>
          <w:sz w:val="20"/>
          <w:szCs w:val="20"/>
          <w:u w:val="single"/>
        </w:rPr>
        <w:t>Kodas 1904</w:t>
      </w:r>
      <w:r>
        <w:rPr>
          <w:bCs/>
          <w:sz w:val="20"/>
          <w:szCs w:val="20"/>
          <w:u w:val="single"/>
        </w:rPr>
        <w:t>18541</w:t>
      </w:r>
      <w:r w:rsidRPr="000D062B">
        <w:rPr>
          <w:bCs/>
          <w:sz w:val="20"/>
          <w:szCs w:val="20"/>
          <w:u w:val="single"/>
        </w:rPr>
        <w:t>,</w:t>
      </w:r>
      <w:r>
        <w:rPr>
          <w:bCs/>
          <w:sz w:val="20"/>
          <w:szCs w:val="20"/>
          <w:u w:val="single"/>
        </w:rPr>
        <w:t>Kniaudiškių</w:t>
      </w:r>
      <w:r w:rsidRPr="000D062B">
        <w:rPr>
          <w:bCs/>
          <w:sz w:val="20"/>
          <w:szCs w:val="20"/>
          <w:u w:val="single"/>
        </w:rPr>
        <w:t xml:space="preserve"> g. </w:t>
      </w:r>
      <w:r>
        <w:rPr>
          <w:bCs/>
          <w:sz w:val="20"/>
          <w:szCs w:val="20"/>
          <w:u w:val="single"/>
        </w:rPr>
        <w:t>57</w:t>
      </w:r>
      <w:r w:rsidRPr="000D062B">
        <w:rPr>
          <w:bCs/>
          <w:sz w:val="20"/>
          <w:szCs w:val="20"/>
          <w:u w:val="single"/>
        </w:rPr>
        <w:t xml:space="preserve">, Panevėžys, tel. (845) </w:t>
      </w:r>
      <w:r>
        <w:rPr>
          <w:bCs/>
          <w:sz w:val="20"/>
          <w:szCs w:val="20"/>
          <w:u w:val="single"/>
        </w:rPr>
        <w:t>42 90 53</w:t>
      </w:r>
    </w:p>
    <w:p w14:paraId="074E19BC" w14:textId="77777777" w:rsidR="0083113F" w:rsidRDefault="0083113F" w:rsidP="0083113F">
      <w:pPr>
        <w:rPr>
          <w:b/>
        </w:rPr>
      </w:pPr>
    </w:p>
    <w:p w14:paraId="0D494D03" w14:textId="77777777" w:rsidR="00A43292" w:rsidRDefault="00A43292" w:rsidP="000E2E61">
      <w:pPr>
        <w:rPr>
          <w:b/>
        </w:rPr>
      </w:pPr>
    </w:p>
    <w:p w14:paraId="76DEC7E5" w14:textId="5A74C7F9" w:rsidR="0083113F" w:rsidRPr="008C491C" w:rsidRDefault="0083113F" w:rsidP="0083113F">
      <w:pPr>
        <w:jc w:val="center"/>
        <w:rPr>
          <w:b/>
        </w:rPr>
      </w:pPr>
      <w:r>
        <w:rPr>
          <w:b/>
        </w:rPr>
        <w:t xml:space="preserve">SUTRUMPINTAS  2023 </w:t>
      </w:r>
      <w:r w:rsidRPr="008C491C">
        <w:rPr>
          <w:b/>
        </w:rPr>
        <w:t xml:space="preserve">METŲ </w:t>
      </w:r>
      <w:r w:rsidR="00E32DB2">
        <w:rPr>
          <w:b/>
        </w:rPr>
        <w:t>BIRŽELIO</w:t>
      </w:r>
      <w:r>
        <w:rPr>
          <w:b/>
        </w:rPr>
        <w:t xml:space="preserve"> 3</w:t>
      </w:r>
      <w:r w:rsidR="00E32DB2">
        <w:rPr>
          <w:b/>
        </w:rPr>
        <w:t>0</w:t>
      </w:r>
      <w:r>
        <w:rPr>
          <w:b/>
        </w:rPr>
        <w:t xml:space="preserve"> D. FINANSINIŲ ATASKAITŲ</w:t>
      </w:r>
      <w:r w:rsidRPr="000D062B">
        <w:rPr>
          <w:b/>
        </w:rPr>
        <w:t xml:space="preserve"> </w:t>
      </w:r>
      <w:r>
        <w:rPr>
          <w:b/>
        </w:rPr>
        <w:t xml:space="preserve">                               AIŠKINAMASIS RAŠTAS</w:t>
      </w:r>
    </w:p>
    <w:p w14:paraId="657D469C" w14:textId="77777777" w:rsidR="000E2E61" w:rsidRDefault="000E2E61" w:rsidP="006F454F">
      <w:pPr>
        <w:jc w:val="center"/>
      </w:pPr>
    </w:p>
    <w:p w14:paraId="3ECCD14E" w14:textId="5C625653" w:rsidR="00B43151" w:rsidRDefault="00D3148E" w:rsidP="00600B70">
      <w:pPr>
        <w:jc w:val="both"/>
        <w:rPr>
          <w:b/>
          <w:sz w:val="28"/>
          <w:szCs w:val="28"/>
        </w:rPr>
      </w:pPr>
      <w:r>
        <w:rPr>
          <w:b/>
          <w:sz w:val="28"/>
          <w:szCs w:val="28"/>
        </w:rPr>
        <w:t>1</w:t>
      </w:r>
      <w:r w:rsidR="00600B70">
        <w:rPr>
          <w:b/>
          <w:sz w:val="28"/>
          <w:szCs w:val="28"/>
        </w:rPr>
        <w:t>.</w:t>
      </w:r>
      <w:r w:rsidR="000E2E61">
        <w:rPr>
          <w:b/>
          <w:sz w:val="28"/>
          <w:szCs w:val="28"/>
        </w:rPr>
        <w:t>Bendroji dalis</w:t>
      </w:r>
    </w:p>
    <w:p w14:paraId="52866C4F" w14:textId="77777777" w:rsidR="00A43292" w:rsidRDefault="00A43292" w:rsidP="00600B70">
      <w:pPr>
        <w:jc w:val="both"/>
        <w:rPr>
          <w:b/>
          <w:sz w:val="28"/>
          <w:szCs w:val="28"/>
        </w:rPr>
      </w:pPr>
    </w:p>
    <w:p w14:paraId="02EB46D3" w14:textId="1F66D202" w:rsidR="00BE6C18" w:rsidRDefault="00246494" w:rsidP="00BE6C18">
      <w:pPr>
        <w:jc w:val="both"/>
      </w:pPr>
      <w:r>
        <w:rPr>
          <w:b/>
        </w:rPr>
        <w:t xml:space="preserve">  </w:t>
      </w:r>
      <w:r w:rsidR="00BE6C18">
        <w:rPr>
          <w:b/>
        </w:rPr>
        <w:t xml:space="preserve">       </w:t>
      </w:r>
      <w:r w:rsidR="001A7874">
        <w:t xml:space="preserve">  Vaikų lopšelis-darželis ,,Puriena‘‘ yra biudžetinė įstaiga išlaikoma iš miesto savivaldybės biudžeto asignavimų. Įstaigos kodas 190418541 , Panevėžys Kniaudiškių  g. 57 .</w:t>
      </w:r>
      <w:r w:rsidR="00BE6C18" w:rsidRPr="00BE6C18">
        <w:t xml:space="preserve"> </w:t>
      </w:r>
      <w:r w:rsidR="00BE6C18">
        <w:t>Lopšelio-darželio biudžetines ataskaitas parengė Panevėžio apskaitos centras.</w:t>
      </w:r>
    </w:p>
    <w:p w14:paraId="3D155E0F" w14:textId="25BCC13C" w:rsidR="001A7874" w:rsidRDefault="00BE6C18" w:rsidP="001A7874">
      <w:pPr>
        <w:jc w:val="both"/>
      </w:pPr>
      <w:r>
        <w:t xml:space="preserve">        </w:t>
      </w:r>
      <w:r w:rsidR="001A7874">
        <w:t xml:space="preserve">   Veikla – ikimokyklinis ugdymas, programa –ugdymo kokybės užtikrinimo, kodas 1.3 Programa parengta vadovaujantis Lietuvos Respublikos švietimo įstatymo nuostata, jog švietimo paskirtis yra tenkinti vaikų pažinimo, lavinimosi ir saviraiškos poreikius, padedant jiems tapti aktyviais visuomenės nariais.</w:t>
      </w:r>
    </w:p>
    <w:p w14:paraId="77C64A13" w14:textId="77777777" w:rsidR="001A7874" w:rsidRDefault="001A7874" w:rsidP="001A7874">
      <w:pPr>
        <w:jc w:val="both"/>
      </w:pPr>
      <w:r>
        <w:t xml:space="preserve">            Programos tikslai: Teikti kokybiškas ugdymo paslaugas, tenkinančias vaikų pažinimo, lavinimosi ir saviraiškos poreikius. Kurti modernią ir saugią ugdymo aplinką.</w:t>
      </w:r>
    </w:p>
    <w:p w14:paraId="0D14B8EF" w14:textId="5AA639EF" w:rsidR="001A7874" w:rsidRDefault="001A7874" w:rsidP="001A7874">
      <w:pPr>
        <w:jc w:val="both"/>
      </w:pPr>
      <w:r>
        <w:t xml:space="preserve">            Lopšelis-darželis,, Puriena‘‘ kontroliuojamų,</w:t>
      </w:r>
      <w:r w:rsidR="007C39A2">
        <w:t xml:space="preserve"> </w:t>
      </w:r>
      <w:r>
        <w:t>asocijuotų  ir kitų subjektų neturi.</w:t>
      </w:r>
    </w:p>
    <w:p w14:paraId="0B6F24FD" w14:textId="06E2C08F" w:rsidR="00D70282" w:rsidRDefault="001A7874" w:rsidP="001A7874">
      <w:pPr>
        <w:jc w:val="both"/>
      </w:pPr>
      <w:r>
        <w:t xml:space="preserve">            Įstaigoje nuo rugsėjo 1 d. yra 3 lopšelio, 3 priešmokyklinio ugdymo ir 6 darželio grupės. </w:t>
      </w:r>
    </w:p>
    <w:p w14:paraId="41EAB92E" w14:textId="39075133" w:rsidR="00246494" w:rsidRDefault="00E05D02" w:rsidP="001A7874">
      <w:pPr>
        <w:jc w:val="both"/>
      </w:pPr>
      <w:r>
        <w:t xml:space="preserve">       </w:t>
      </w:r>
      <w:r w:rsidR="00A64A07">
        <w:t xml:space="preserve">      </w:t>
      </w:r>
      <w:r w:rsidR="00A64A07" w:rsidRPr="000D062B">
        <w:t>Finansiniai metai įstaigoje metai prasideda sausio 1 d., baigiasi gruodžio 31 d</w:t>
      </w:r>
    </w:p>
    <w:p w14:paraId="64CEE72F" w14:textId="05303BCE" w:rsidR="00EE2E09" w:rsidRDefault="00D3148E" w:rsidP="00D42DF8">
      <w:pPr>
        <w:rPr>
          <w:b/>
          <w:sz w:val="28"/>
          <w:szCs w:val="28"/>
        </w:rPr>
      </w:pPr>
      <w:r>
        <w:rPr>
          <w:b/>
          <w:sz w:val="28"/>
          <w:szCs w:val="28"/>
        </w:rPr>
        <w:t>2</w:t>
      </w:r>
      <w:r w:rsidR="00EE2E09" w:rsidRPr="00EE2E09">
        <w:rPr>
          <w:b/>
          <w:sz w:val="28"/>
          <w:szCs w:val="28"/>
        </w:rPr>
        <w:t>. Apskaitos politika</w:t>
      </w:r>
    </w:p>
    <w:p w14:paraId="7087EF3B" w14:textId="77777777" w:rsidR="00D70282" w:rsidRDefault="00D70282" w:rsidP="00D70282">
      <w:r>
        <w:t xml:space="preserve">   Lopšelio darželio ,,Puriena‘‘ buhalterinė apskaita tvarkoma ir finansinės ataskaitos sudaromos vadovaujantis Lietuvos Respublikos buhalterinės apskaitos įstatymu, Lietuvos Respublikos viešojo sektoriaus atskaitomybės įstatymu ir kitais teisės aktais, reglamentuojančiais buhalterinės apskaitos tvarkymą.</w:t>
      </w:r>
    </w:p>
    <w:p w14:paraId="29F19FA0" w14:textId="77777777" w:rsidR="00D70282" w:rsidRDefault="00D70282" w:rsidP="00D70282">
      <w:r>
        <w:t xml:space="preserve">        Lopšelio-darželio ,,Puriena‘‘ parengtos tarpinės finansinės ataskaitos atitinka viešojo sektoriaus apskaitos ir finansinės atskaitomybės standartus.</w:t>
      </w:r>
    </w:p>
    <w:p w14:paraId="358573E6" w14:textId="77777777" w:rsidR="00D70282" w:rsidRDefault="00D70282" w:rsidP="00D70282">
      <w:r>
        <w:t xml:space="preserve">         Įstaigos apskaitos politika  apima ūkinių operacijų ir įvykių pripažinimo, įvertinimo ir apskaitos principus ,metodus ir taisykles.         </w:t>
      </w:r>
    </w:p>
    <w:p w14:paraId="5BBC0FED" w14:textId="77777777" w:rsidR="00D70282" w:rsidRDefault="00D70282" w:rsidP="00D70282">
      <w:r>
        <w:t xml:space="preserve">        Tarpinio ataskaitinio laikotarpio pabaiga sutampa su kalendorinių metų pirmo, antrojo ir trečiojo ketvirčių pabaiga.         </w:t>
      </w:r>
    </w:p>
    <w:p w14:paraId="58BBDAFA" w14:textId="77777777" w:rsidR="00D70282" w:rsidRDefault="00D70282" w:rsidP="00D70282">
      <w:r>
        <w:t xml:space="preserve">       Visos ūkinės operacijos ir įvykiai apskaitoje registruojami eurais ir euro centais, apvalinant iki šimtųjų euro dalių (dviejų skaitmenų po kablelio)  </w:t>
      </w:r>
    </w:p>
    <w:p w14:paraId="39CC8788" w14:textId="77777777" w:rsidR="00D70282" w:rsidRDefault="00D70282" w:rsidP="00D70282">
      <w:r>
        <w:t xml:space="preserve">        Visos operacijos ir ūkiniai įvykiai apskaitoje registruojami dvejybiniu įrašu didžiojoje knygoje. Taikomi kaupimo, veiklos tęstinumo, periodiškumo, pastovumo, palyginimo principai. </w:t>
      </w:r>
    </w:p>
    <w:p w14:paraId="767836A8" w14:textId="0716EF02" w:rsidR="003F7A32" w:rsidRDefault="00D70282" w:rsidP="00D70282">
      <w:r>
        <w:t xml:space="preserve">          Lopšelio-darželio ,,Puriena‘‘ apskaitos politika aprašyta 20</w:t>
      </w:r>
      <w:r w:rsidR="00BE6C18">
        <w:t>22</w:t>
      </w:r>
      <w:r>
        <w:t xml:space="preserve"> metų finansinių ataskaitų rinkinyje , kuris paskelbtas įstaigos interneto svetainėje, adresu http:ldpuriena.puslapiai.lt Per ataskaitinį laikotarpį L/D ,,Puriena‘‘ apskaitos politika nebuvo keista.</w:t>
      </w:r>
    </w:p>
    <w:p w14:paraId="30EB2E3B" w14:textId="25FD609D" w:rsidR="003F7A32" w:rsidRDefault="00D3148E" w:rsidP="000E2E61">
      <w:pPr>
        <w:jc w:val="both"/>
        <w:rPr>
          <w:b/>
          <w:sz w:val="28"/>
          <w:szCs w:val="28"/>
        </w:rPr>
      </w:pPr>
      <w:r>
        <w:rPr>
          <w:b/>
          <w:sz w:val="28"/>
          <w:szCs w:val="28"/>
        </w:rPr>
        <w:t>3</w:t>
      </w:r>
      <w:r w:rsidR="000E2E61" w:rsidRPr="00570CEB">
        <w:rPr>
          <w:b/>
          <w:sz w:val="28"/>
          <w:szCs w:val="28"/>
        </w:rPr>
        <w:t>. Pastabos</w:t>
      </w:r>
    </w:p>
    <w:p w14:paraId="0F24A6C4" w14:textId="617B8EFF" w:rsidR="00E64EBB" w:rsidRPr="00E64EBB" w:rsidRDefault="00D3148E" w:rsidP="00E64EBB">
      <w:pPr>
        <w:widowControl w:val="0"/>
        <w:autoSpaceDE w:val="0"/>
        <w:autoSpaceDN w:val="0"/>
        <w:adjustRightInd w:val="0"/>
        <w:ind w:firstLine="567"/>
        <w:jc w:val="both"/>
        <w:rPr>
          <w:b/>
          <w:color w:val="000000"/>
        </w:rPr>
      </w:pPr>
      <w:r>
        <w:rPr>
          <w:b/>
          <w:color w:val="000000"/>
        </w:rPr>
        <w:t>3</w:t>
      </w:r>
      <w:r w:rsidR="00157B70">
        <w:rPr>
          <w:b/>
          <w:color w:val="000000"/>
        </w:rPr>
        <w:t xml:space="preserve">.1 </w:t>
      </w:r>
      <w:r w:rsidR="00E64EBB" w:rsidRPr="00E64EBB">
        <w:rPr>
          <w:b/>
          <w:color w:val="000000"/>
        </w:rPr>
        <w:t xml:space="preserve">Sukauptos gautinos sumos </w:t>
      </w:r>
    </w:p>
    <w:p w14:paraId="22836FAE" w14:textId="77777777" w:rsidR="00E64EBB" w:rsidRPr="00E64EBB" w:rsidRDefault="00E64EBB" w:rsidP="00E64EBB">
      <w:pPr>
        <w:widowControl w:val="0"/>
        <w:autoSpaceDE w:val="0"/>
        <w:autoSpaceDN w:val="0"/>
        <w:adjustRightInd w:val="0"/>
        <w:ind w:firstLine="567"/>
        <w:jc w:val="both"/>
        <w:rPr>
          <w:b/>
          <w:color w:val="000000"/>
        </w:rPr>
      </w:pPr>
    </w:p>
    <w:p w14:paraId="27601A37" w14:textId="5CE8953E" w:rsidR="00E64EBB" w:rsidRPr="00E64EBB" w:rsidRDefault="00E64EBB" w:rsidP="00E64EBB">
      <w:pPr>
        <w:autoSpaceDE w:val="0"/>
        <w:autoSpaceDN w:val="0"/>
        <w:adjustRightInd w:val="0"/>
        <w:ind w:firstLine="567"/>
        <w:jc w:val="both"/>
        <w:rPr>
          <w:color w:val="000000"/>
          <w:lang w:eastAsia="en-US"/>
        </w:rPr>
      </w:pPr>
      <w:r w:rsidRPr="00E64EBB">
        <w:rPr>
          <w:color w:val="000000"/>
          <w:lang w:eastAsia="en-US"/>
        </w:rPr>
        <w:t xml:space="preserve">Ataskaitinio laikotarpio pabaigoje sukauptų gautinų sumų vertė </w:t>
      </w:r>
      <w:r w:rsidR="00B52EF2">
        <w:rPr>
          <w:color w:val="000000"/>
          <w:lang w:eastAsia="en-US"/>
        </w:rPr>
        <w:t>124949,00</w:t>
      </w:r>
      <w:r w:rsidR="0083113F">
        <w:rPr>
          <w:color w:val="000000"/>
          <w:lang w:eastAsia="en-US"/>
        </w:rPr>
        <w:t xml:space="preserve"> </w:t>
      </w:r>
      <w:r w:rsidRPr="00E64EBB">
        <w:rPr>
          <w:color w:val="000000"/>
          <w:lang w:eastAsia="en-US"/>
        </w:rPr>
        <w:t>Eur.</w:t>
      </w:r>
    </w:p>
    <w:p w14:paraId="2CDA65B5" w14:textId="77777777" w:rsidR="00E64EBB" w:rsidRPr="00E64EBB" w:rsidRDefault="00E64EBB" w:rsidP="00E64EBB">
      <w:pPr>
        <w:tabs>
          <w:tab w:val="left" w:pos="709"/>
        </w:tabs>
        <w:ind w:firstLine="567"/>
        <w:jc w:val="both"/>
        <w:rPr>
          <w:color w:val="00000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3678"/>
        <w:gridCol w:w="1687"/>
        <w:gridCol w:w="1466"/>
        <w:gridCol w:w="1506"/>
      </w:tblGrid>
      <w:tr w:rsidR="00E64EBB" w:rsidRPr="00E64EBB" w14:paraId="522D534E" w14:textId="77777777" w:rsidTr="00B436DB">
        <w:trPr>
          <w:trHeight w:val="402"/>
          <w:jc w:val="center"/>
        </w:trPr>
        <w:tc>
          <w:tcPr>
            <w:tcW w:w="1041" w:type="dxa"/>
            <w:shd w:val="clear" w:color="auto" w:fill="auto"/>
            <w:vAlign w:val="center"/>
          </w:tcPr>
          <w:p w14:paraId="517C8D4C" w14:textId="77777777" w:rsidR="00E64EBB" w:rsidRPr="00E64EBB" w:rsidRDefault="00E64EBB" w:rsidP="004E035B">
            <w:pPr>
              <w:tabs>
                <w:tab w:val="left" w:pos="709"/>
              </w:tabs>
              <w:jc w:val="center"/>
              <w:rPr>
                <w:color w:val="000000"/>
                <w:lang w:eastAsia="en-US"/>
              </w:rPr>
            </w:pPr>
            <w:r w:rsidRPr="00E64EBB">
              <w:rPr>
                <w:color w:val="000000"/>
                <w:lang w:eastAsia="en-US"/>
              </w:rPr>
              <w:t>Eil. Nr.</w:t>
            </w:r>
          </w:p>
        </w:tc>
        <w:tc>
          <w:tcPr>
            <w:tcW w:w="3794" w:type="dxa"/>
            <w:shd w:val="clear" w:color="auto" w:fill="auto"/>
            <w:vAlign w:val="center"/>
          </w:tcPr>
          <w:p w14:paraId="32456D75" w14:textId="77777777" w:rsidR="00E64EBB" w:rsidRPr="00E64EBB" w:rsidRDefault="00E64EBB" w:rsidP="004E035B">
            <w:pPr>
              <w:tabs>
                <w:tab w:val="left" w:pos="709"/>
              </w:tabs>
              <w:jc w:val="center"/>
              <w:rPr>
                <w:color w:val="000000"/>
                <w:lang w:eastAsia="en-US"/>
              </w:rPr>
            </w:pPr>
            <w:r w:rsidRPr="00E64EBB">
              <w:rPr>
                <w:color w:val="000000"/>
                <w:lang w:eastAsia="en-US"/>
              </w:rPr>
              <w:t>Sukauptos gautinos sumos pagal lėšas</w:t>
            </w:r>
          </w:p>
        </w:tc>
        <w:tc>
          <w:tcPr>
            <w:tcW w:w="1718" w:type="dxa"/>
            <w:shd w:val="clear" w:color="auto" w:fill="auto"/>
            <w:vAlign w:val="center"/>
          </w:tcPr>
          <w:p w14:paraId="2C84FAF8" w14:textId="77777777" w:rsidR="00E64EBB" w:rsidRPr="00E64EBB" w:rsidRDefault="00E64EBB" w:rsidP="004E035B">
            <w:pPr>
              <w:tabs>
                <w:tab w:val="left" w:pos="709"/>
              </w:tabs>
              <w:jc w:val="center"/>
              <w:rPr>
                <w:lang w:eastAsia="en-US"/>
              </w:rPr>
            </w:pPr>
            <w:r w:rsidRPr="00E64EBB">
              <w:rPr>
                <w:lang w:eastAsia="en-US"/>
              </w:rPr>
              <w:t>Valstybės lėšos</w:t>
            </w:r>
          </w:p>
        </w:tc>
        <w:tc>
          <w:tcPr>
            <w:tcW w:w="1494" w:type="dxa"/>
          </w:tcPr>
          <w:p w14:paraId="049CD14B" w14:textId="77777777" w:rsidR="00E64EBB" w:rsidRPr="00E64EBB" w:rsidRDefault="00E64EBB" w:rsidP="004E035B">
            <w:pPr>
              <w:tabs>
                <w:tab w:val="left" w:pos="709"/>
              </w:tabs>
              <w:jc w:val="center"/>
              <w:rPr>
                <w:color w:val="000000"/>
                <w:lang w:eastAsia="en-US"/>
              </w:rPr>
            </w:pPr>
            <w:r w:rsidRPr="00E64EBB">
              <w:rPr>
                <w:color w:val="000000"/>
                <w:lang w:eastAsia="en-US"/>
              </w:rPr>
              <w:t>ES lėšos</w:t>
            </w:r>
          </w:p>
        </w:tc>
        <w:tc>
          <w:tcPr>
            <w:tcW w:w="1529" w:type="dxa"/>
            <w:shd w:val="clear" w:color="auto" w:fill="auto"/>
            <w:vAlign w:val="center"/>
          </w:tcPr>
          <w:p w14:paraId="0F15CB84" w14:textId="77777777" w:rsidR="00E64EBB" w:rsidRPr="00E64EBB" w:rsidRDefault="00E64EBB" w:rsidP="004E035B">
            <w:pPr>
              <w:tabs>
                <w:tab w:val="left" w:pos="709"/>
              </w:tabs>
              <w:jc w:val="center"/>
              <w:rPr>
                <w:color w:val="000000"/>
                <w:lang w:eastAsia="en-US"/>
              </w:rPr>
            </w:pPr>
            <w:r w:rsidRPr="00E64EBB">
              <w:rPr>
                <w:color w:val="000000"/>
                <w:lang w:eastAsia="en-US"/>
              </w:rPr>
              <w:t>Biudžeto lėšos</w:t>
            </w:r>
          </w:p>
        </w:tc>
      </w:tr>
      <w:tr w:rsidR="00E64EBB" w:rsidRPr="00E64EBB" w14:paraId="157E1C7C" w14:textId="77777777" w:rsidTr="00B436DB">
        <w:trPr>
          <w:jc w:val="center"/>
        </w:trPr>
        <w:tc>
          <w:tcPr>
            <w:tcW w:w="1041" w:type="dxa"/>
            <w:shd w:val="clear" w:color="auto" w:fill="auto"/>
            <w:vAlign w:val="center"/>
          </w:tcPr>
          <w:p w14:paraId="2FE1B4B3" w14:textId="77777777" w:rsidR="00E64EBB" w:rsidRPr="00E64EBB" w:rsidRDefault="00E64EBB" w:rsidP="004E035B">
            <w:pPr>
              <w:tabs>
                <w:tab w:val="left" w:pos="709"/>
              </w:tabs>
              <w:jc w:val="center"/>
              <w:rPr>
                <w:color w:val="000000"/>
                <w:lang w:eastAsia="en-US"/>
              </w:rPr>
            </w:pPr>
            <w:r w:rsidRPr="00E64EBB">
              <w:rPr>
                <w:color w:val="000000"/>
                <w:lang w:eastAsia="en-US"/>
              </w:rPr>
              <w:t>1.</w:t>
            </w:r>
          </w:p>
        </w:tc>
        <w:tc>
          <w:tcPr>
            <w:tcW w:w="3794" w:type="dxa"/>
            <w:shd w:val="clear" w:color="auto" w:fill="auto"/>
            <w:vAlign w:val="center"/>
          </w:tcPr>
          <w:p w14:paraId="00DDF6F2" w14:textId="77777777" w:rsidR="00E64EBB" w:rsidRPr="00E64EBB" w:rsidRDefault="00E64EBB" w:rsidP="004E035B">
            <w:pPr>
              <w:tabs>
                <w:tab w:val="left" w:pos="709"/>
              </w:tabs>
              <w:rPr>
                <w:color w:val="000000"/>
                <w:lang w:eastAsia="en-US"/>
              </w:rPr>
            </w:pPr>
            <w:r w:rsidRPr="00E64EBB">
              <w:rPr>
                <w:color w:val="000000"/>
                <w:lang w:eastAsia="en-US"/>
              </w:rPr>
              <w:t>Mokymo lėšos</w:t>
            </w:r>
          </w:p>
        </w:tc>
        <w:tc>
          <w:tcPr>
            <w:tcW w:w="1718" w:type="dxa"/>
            <w:shd w:val="clear" w:color="auto" w:fill="auto"/>
            <w:vAlign w:val="center"/>
          </w:tcPr>
          <w:p w14:paraId="5E575311" w14:textId="6F5A447E" w:rsidR="00E64EBB" w:rsidRPr="00E64EBB" w:rsidRDefault="00B52EF2" w:rsidP="004E035B">
            <w:pPr>
              <w:tabs>
                <w:tab w:val="left" w:pos="709"/>
              </w:tabs>
              <w:jc w:val="right"/>
              <w:rPr>
                <w:lang w:eastAsia="en-US"/>
              </w:rPr>
            </w:pPr>
            <w:r>
              <w:rPr>
                <w:lang w:eastAsia="en-US"/>
              </w:rPr>
              <w:t>42724,09</w:t>
            </w:r>
          </w:p>
        </w:tc>
        <w:tc>
          <w:tcPr>
            <w:tcW w:w="1494" w:type="dxa"/>
          </w:tcPr>
          <w:p w14:paraId="571A9302" w14:textId="77777777" w:rsidR="00E64EBB" w:rsidRPr="00E64EBB" w:rsidRDefault="00E64EBB" w:rsidP="004E035B">
            <w:pPr>
              <w:tabs>
                <w:tab w:val="left" w:pos="709"/>
              </w:tabs>
              <w:jc w:val="right"/>
              <w:rPr>
                <w:color w:val="000000"/>
                <w:lang w:eastAsia="en-US"/>
              </w:rPr>
            </w:pPr>
          </w:p>
        </w:tc>
        <w:tc>
          <w:tcPr>
            <w:tcW w:w="1529" w:type="dxa"/>
            <w:shd w:val="clear" w:color="auto" w:fill="auto"/>
            <w:vAlign w:val="center"/>
          </w:tcPr>
          <w:p w14:paraId="3186A53E" w14:textId="77777777" w:rsidR="00E64EBB" w:rsidRPr="00E64EBB" w:rsidRDefault="00E64EBB" w:rsidP="004E035B">
            <w:pPr>
              <w:tabs>
                <w:tab w:val="left" w:pos="709"/>
              </w:tabs>
              <w:jc w:val="right"/>
              <w:rPr>
                <w:color w:val="000000"/>
                <w:lang w:eastAsia="en-US"/>
              </w:rPr>
            </w:pPr>
          </w:p>
        </w:tc>
      </w:tr>
      <w:tr w:rsidR="00E64EBB" w:rsidRPr="00E64EBB" w14:paraId="65C666B1" w14:textId="77777777" w:rsidTr="00B436DB">
        <w:trPr>
          <w:jc w:val="center"/>
        </w:trPr>
        <w:tc>
          <w:tcPr>
            <w:tcW w:w="1041" w:type="dxa"/>
            <w:shd w:val="clear" w:color="auto" w:fill="auto"/>
            <w:vAlign w:val="center"/>
          </w:tcPr>
          <w:p w14:paraId="2217762C" w14:textId="77777777" w:rsidR="00E64EBB" w:rsidRPr="00E64EBB" w:rsidRDefault="00E64EBB" w:rsidP="004E035B">
            <w:pPr>
              <w:tabs>
                <w:tab w:val="left" w:pos="709"/>
              </w:tabs>
              <w:jc w:val="center"/>
              <w:rPr>
                <w:color w:val="000000"/>
                <w:lang w:eastAsia="en-US"/>
              </w:rPr>
            </w:pPr>
            <w:r w:rsidRPr="00E64EBB">
              <w:rPr>
                <w:color w:val="000000"/>
                <w:lang w:eastAsia="en-US"/>
              </w:rPr>
              <w:t>2.</w:t>
            </w:r>
          </w:p>
        </w:tc>
        <w:tc>
          <w:tcPr>
            <w:tcW w:w="3794" w:type="dxa"/>
            <w:shd w:val="clear" w:color="auto" w:fill="auto"/>
            <w:vAlign w:val="center"/>
          </w:tcPr>
          <w:p w14:paraId="791D4781" w14:textId="77777777" w:rsidR="00E64EBB" w:rsidRPr="00E64EBB" w:rsidRDefault="00E64EBB" w:rsidP="004E035B">
            <w:pPr>
              <w:tabs>
                <w:tab w:val="left" w:pos="709"/>
              </w:tabs>
              <w:rPr>
                <w:color w:val="000000"/>
                <w:lang w:eastAsia="en-US"/>
              </w:rPr>
            </w:pPr>
            <w:proofErr w:type="spellStart"/>
            <w:r w:rsidRPr="00E64EBB">
              <w:rPr>
                <w:color w:val="000000"/>
                <w:lang w:eastAsia="en-US"/>
              </w:rPr>
              <w:t>Soc</w:t>
            </w:r>
            <w:proofErr w:type="spellEnd"/>
            <w:r w:rsidRPr="00E64EBB">
              <w:rPr>
                <w:color w:val="000000"/>
                <w:lang w:eastAsia="en-US"/>
              </w:rPr>
              <w:t>. riziką patiriančių vaikų ikimokykliniam ugdymui</w:t>
            </w:r>
          </w:p>
        </w:tc>
        <w:tc>
          <w:tcPr>
            <w:tcW w:w="1718" w:type="dxa"/>
            <w:shd w:val="clear" w:color="auto" w:fill="auto"/>
            <w:vAlign w:val="center"/>
          </w:tcPr>
          <w:p w14:paraId="734D11AD" w14:textId="636CD766" w:rsidR="00E64EBB" w:rsidRPr="00E64EBB" w:rsidRDefault="00E64EBB" w:rsidP="004E035B">
            <w:pPr>
              <w:tabs>
                <w:tab w:val="left" w:pos="709"/>
              </w:tabs>
              <w:jc w:val="right"/>
              <w:rPr>
                <w:lang w:eastAsia="en-US"/>
              </w:rPr>
            </w:pPr>
          </w:p>
        </w:tc>
        <w:tc>
          <w:tcPr>
            <w:tcW w:w="1494" w:type="dxa"/>
          </w:tcPr>
          <w:p w14:paraId="6EAC16C0" w14:textId="77777777" w:rsidR="00E64EBB" w:rsidRPr="00E64EBB" w:rsidRDefault="00E64EBB" w:rsidP="004E035B">
            <w:pPr>
              <w:tabs>
                <w:tab w:val="left" w:pos="709"/>
              </w:tabs>
              <w:jc w:val="right"/>
              <w:rPr>
                <w:color w:val="000000"/>
                <w:lang w:eastAsia="en-US"/>
              </w:rPr>
            </w:pPr>
          </w:p>
          <w:p w14:paraId="5AF1BC29" w14:textId="77777777" w:rsidR="00E64EBB" w:rsidRPr="00E64EBB" w:rsidRDefault="00E64EBB" w:rsidP="004E035B">
            <w:pPr>
              <w:tabs>
                <w:tab w:val="left" w:pos="709"/>
              </w:tabs>
              <w:jc w:val="right"/>
              <w:rPr>
                <w:color w:val="000000"/>
                <w:lang w:eastAsia="en-US"/>
              </w:rPr>
            </w:pPr>
          </w:p>
        </w:tc>
        <w:tc>
          <w:tcPr>
            <w:tcW w:w="1529" w:type="dxa"/>
            <w:shd w:val="clear" w:color="auto" w:fill="auto"/>
            <w:vAlign w:val="center"/>
          </w:tcPr>
          <w:p w14:paraId="06CC46D7" w14:textId="77777777" w:rsidR="00E64EBB" w:rsidRPr="00E64EBB" w:rsidRDefault="00E64EBB" w:rsidP="004E035B">
            <w:pPr>
              <w:tabs>
                <w:tab w:val="left" w:pos="709"/>
              </w:tabs>
              <w:jc w:val="right"/>
              <w:rPr>
                <w:color w:val="000000"/>
                <w:lang w:eastAsia="en-US"/>
              </w:rPr>
            </w:pPr>
          </w:p>
        </w:tc>
      </w:tr>
      <w:tr w:rsidR="00E64EBB" w:rsidRPr="00E64EBB" w14:paraId="2E9332D4" w14:textId="77777777" w:rsidTr="00B436DB">
        <w:trPr>
          <w:jc w:val="center"/>
        </w:trPr>
        <w:tc>
          <w:tcPr>
            <w:tcW w:w="1041" w:type="dxa"/>
            <w:shd w:val="clear" w:color="auto" w:fill="auto"/>
            <w:vAlign w:val="center"/>
          </w:tcPr>
          <w:p w14:paraId="075E842C" w14:textId="77777777" w:rsidR="00E64EBB" w:rsidRPr="00E64EBB" w:rsidRDefault="00E64EBB" w:rsidP="004E035B">
            <w:pPr>
              <w:tabs>
                <w:tab w:val="left" w:pos="709"/>
              </w:tabs>
              <w:jc w:val="center"/>
              <w:rPr>
                <w:color w:val="000000"/>
                <w:lang w:eastAsia="en-US"/>
              </w:rPr>
            </w:pPr>
            <w:r w:rsidRPr="00E64EBB">
              <w:rPr>
                <w:color w:val="000000"/>
                <w:lang w:eastAsia="en-US"/>
              </w:rPr>
              <w:t>3.</w:t>
            </w:r>
          </w:p>
        </w:tc>
        <w:tc>
          <w:tcPr>
            <w:tcW w:w="3794" w:type="dxa"/>
            <w:shd w:val="clear" w:color="auto" w:fill="auto"/>
            <w:vAlign w:val="center"/>
          </w:tcPr>
          <w:p w14:paraId="500146BA" w14:textId="77777777" w:rsidR="00E64EBB" w:rsidRPr="00E64EBB" w:rsidRDefault="00E64EBB" w:rsidP="004E035B">
            <w:pPr>
              <w:tabs>
                <w:tab w:val="left" w:pos="709"/>
              </w:tabs>
              <w:rPr>
                <w:color w:val="000000"/>
                <w:lang w:eastAsia="en-US"/>
              </w:rPr>
            </w:pPr>
            <w:r w:rsidRPr="00E64EBB">
              <w:rPr>
                <w:color w:val="000000"/>
                <w:lang w:eastAsia="en-US"/>
              </w:rPr>
              <w:t>Programa vaisiai</w:t>
            </w:r>
          </w:p>
        </w:tc>
        <w:tc>
          <w:tcPr>
            <w:tcW w:w="1718" w:type="dxa"/>
            <w:shd w:val="clear" w:color="auto" w:fill="auto"/>
            <w:vAlign w:val="center"/>
          </w:tcPr>
          <w:p w14:paraId="5C0336FE" w14:textId="77777777" w:rsidR="00E64EBB" w:rsidRPr="00E64EBB" w:rsidRDefault="00E64EBB" w:rsidP="004E035B">
            <w:pPr>
              <w:tabs>
                <w:tab w:val="left" w:pos="709"/>
              </w:tabs>
              <w:jc w:val="right"/>
              <w:rPr>
                <w:color w:val="000000"/>
                <w:lang w:eastAsia="en-US"/>
              </w:rPr>
            </w:pPr>
          </w:p>
        </w:tc>
        <w:tc>
          <w:tcPr>
            <w:tcW w:w="1494" w:type="dxa"/>
          </w:tcPr>
          <w:p w14:paraId="02619DEC" w14:textId="2B6468B2" w:rsidR="00E64EBB" w:rsidRPr="00E64EBB" w:rsidRDefault="00C3516E" w:rsidP="004E035B">
            <w:pPr>
              <w:tabs>
                <w:tab w:val="left" w:pos="709"/>
              </w:tabs>
              <w:jc w:val="right"/>
              <w:rPr>
                <w:color w:val="000000"/>
                <w:lang w:eastAsia="en-US"/>
              </w:rPr>
            </w:pPr>
            <w:r>
              <w:rPr>
                <w:color w:val="000000"/>
                <w:lang w:eastAsia="en-US"/>
              </w:rPr>
              <w:t>1926,02</w:t>
            </w:r>
          </w:p>
        </w:tc>
        <w:tc>
          <w:tcPr>
            <w:tcW w:w="1529" w:type="dxa"/>
            <w:shd w:val="clear" w:color="auto" w:fill="auto"/>
            <w:vAlign w:val="center"/>
          </w:tcPr>
          <w:p w14:paraId="75F40C92" w14:textId="77777777" w:rsidR="00E64EBB" w:rsidRPr="00E64EBB" w:rsidRDefault="00E64EBB" w:rsidP="004E035B">
            <w:pPr>
              <w:tabs>
                <w:tab w:val="left" w:pos="709"/>
              </w:tabs>
              <w:jc w:val="right"/>
              <w:rPr>
                <w:color w:val="000000"/>
                <w:lang w:eastAsia="en-US"/>
              </w:rPr>
            </w:pPr>
          </w:p>
        </w:tc>
      </w:tr>
      <w:tr w:rsidR="00E64EBB" w:rsidRPr="00E64EBB" w14:paraId="59F08D03" w14:textId="77777777" w:rsidTr="00B436DB">
        <w:trPr>
          <w:jc w:val="center"/>
        </w:trPr>
        <w:tc>
          <w:tcPr>
            <w:tcW w:w="1041" w:type="dxa"/>
            <w:shd w:val="clear" w:color="auto" w:fill="auto"/>
            <w:vAlign w:val="center"/>
          </w:tcPr>
          <w:p w14:paraId="6011CE3F" w14:textId="77777777" w:rsidR="00E64EBB" w:rsidRPr="00E64EBB" w:rsidRDefault="00E64EBB" w:rsidP="004E035B">
            <w:pPr>
              <w:tabs>
                <w:tab w:val="left" w:pos="709"/>
              </w:tabs>
              <w:jc w:val="center"/>
              <w:rPr>
                <w:color w:val="000000"/>
                <w:lang w:eastAsia="en-US"/>
              </w:rPr>
            </w:pPr>
            <w:r w:rsidRPr="00E64EBB">
              <w:rPr>
                <w:color w:val="000000"/>
                <w:lang w:eastAsia="en-US"/>
              </w:rPr>
              <w:t>4.</w:t>
            </w:r>
          </w:p>
        </w:tc>
        <w:tc>
          <w:tcPr>
            <w:tcW w:w="3794" w:type="dxa"/>
            <w:shd w:val="clear" w:color="auto" w:fill="auto"/>
            <w:vAlign w:val="center"/>
          </w:tcPr>
          <w:p w14:paraId="262241EC" w14:textId="77777777" w:rsidR="00E64EBB" w:rsidRPr="00E64EBB" w:rsidRDefault="00E64EBB" w:rsidP="004E035B">
            <w:pPr>
              <w:tabs>
                <w:tab w:val="left" w:pos="709"/>
              </w:tabs>
              <w:rPr>
                <w:color w:val="000000"/>
                <w:lang w:eastAsia="en-US"/>
              </w:rPr>
            </w:pPr>
            <w:r w:rsidRPr="00E64EBB">
              <w:rPr>
                <w:color w:val="000000"/>
                <w:lang w:eastAsia="en-US"/>
              </w:rPr>
              <w:t>Savivaldybės biudžeto lėšos</w:t>
            </w:r>
          </w:p>
        </w:tc>
        <w:tc>
          <w:tcPr>
            <w:tcW w:w="1718" w:type="dxa"/>
            <w:shd w:val="clear" w:color="auto" w:fill="auto"/>
            <w:vAlign w:val="center"/>
          </w:tcPr>
          <w:p w14:paraId="0B47B7F4" w14:textId="77777777" w:rsidR="00E64EBB" w:rsidRPr="00E64EBB" w:rsidRDefault="00E64EBB" w:rsidP="004E035B">
            <w:pPr>
              <w:tabs>
                <w:tab w:val="left" w:pos="709"/>
              </w:tabs>
              <w:jc w:val="right"/>
              <w:rPr>
                <w:color w:val="000000"/>
                <w:lang w:eastAsia="en-US"/>
              </w:rPr>
            </w:pPr>
          </w:p>
        </w:tc>
        <w:tc>
          <w:tcPr>
            <w:tcW w:w="1494" w:type="dxa"/>
          </w:tcPr>
          <w:p w14:paraId="5968CE7A" w14:textId="77777777" w:rsidR="00E64EBB" w:rsidRPr="00E64EBB" w:rsidRDefault="00E64EBB" w:rsidP="004E035B">
            <w:pPr>
              <w:tabs>
                <w:tab w:val="left" w:pos="709"/>
              </w:tabs>
              <w:jc w:val="right"/>
              <w:rPr>
                <w:color w:val="000000"/>
                <w:lang w:eastAsia="en-US"/>
              </w:rPr>
            </w:pPr>
          </w:p>
        </w:tc>
        <w:tc>
          <w:tcPr>
            <w:tcW w:w="1529" w:type="dxa"/>
            <w:shd w:val="clear" w:color="auto" w:fill="auto"/>
            <w:vAlign w:val="center"/>
          </w:tcPr>
          <w:p w14:paraId="24C5F90F" w14:textId="50C6E1A3" w:rsidR="00E64EBB" w:rsidRPr="00E64EBB" w:rsidRDefault="00B52EF2" w:rsidP="004E035B">
            <w:pPr>
              <w:tabs>
                <w:tab w:val="left" w:pos="709"/>
              </w:tabs>
              <w:jc w:val="right"/>
              <w:rPr>
                <w:color w:val="000000"/>
                <w:lang w:eastAsia="en-US"/>
              </w:rPr>
            </w:pPr>
            <w:r>
              <w:rPr>
                <w:color w:val="000000"/>
                <w:lang w:eastAsia="en-US"/>
              </w:rPr>
              <w:t>67813,65</w:t>
            </w:r>
          </w:p>
        </w:tc>
      </w:tr>
      <w:tr w:rsidR="00E64EBB" w:rsidRPr="00E64EBB" w14:paraId="1FFE4AD9" w14:textId="77777777" w:rsidTr="00B436DB">
        <w:trPr>
          <w:jc w:val="center"/>
        </w:trPr>
        <w:tc>
          <w:tcPr>
            <w:tcW w:w="1041" w:type="dxa"/>
            <w:shd w:val="clear" w:color="auto" w:fill="auto"/>
            <w:vAlign w:val="center"/>
          </w:tcPr>
          <w:p w14:paraId="7C5EA0C0" w14:textId="77777777" w:rsidR="00E64EBB" w:rsidRPr="00E64EBB" w:rsidRDefault="00E64EBB" w:rsidP="004E035B">
            <w:pPr>
              <w:tabs>
                <w:tab w:val="left" w:pos="709"/>
              </w:tabs>
              <w:jc w:val="center"/>
              <w:rPr>
                <w:color w:val="000000"/>
                <w:lang w:eastAsia="en-US"/>
              </w:rPr>
            </w:pPr>
          </w:p>
        </w:tc>
        <w:tc>
          <w:tcPr>
            <w:tcW w:w="3794" w:type="dxa"/>
            <w:shd w:val="clear" w:color="auto" w:fill="auto"/>
            <w:vAlign w:val="center"/>
          </w:tcPr>
          <w:p w14:paraId="5549DED5" w14:textId="77777777" w:rsidR="00E64EBB" w:rsidRPr="00E64EBB" w:rsidRDefault="00E64EBB" w:rsidP="004E035B">
            <w:pPr>
              <w:tabs>
                <w:tab w:val="left" w:pos="709"/>
              </w:tabs>
              <w:jc w:val="center"/>
              <w:rPr>
                <w:color w:val="000000"/>
                <w:lang w:eastAsia="en-US"/>
              </w:rPr>
            </w:pPr>
          </w:p>
        </w:tc>
        <w:tc>
          <w:tcPr>
            <w:tcW w:w="1718" w:type="dxa"/>
            <w:shd w:val="clear" w:color="auto" w:fill="auto"/>
            <w:vAlign w:val="center"/>
          </w:tcPr>
          <w:p w14:paraId="0DF67F9A" w14:textId="16B8290D" w:rsidR="00E64EBB" w:rsidRPr="00E64EBB" w:rsidRDefault="00B52EF2" w:rsidP="004E035B">
            <w:pPr>
              <w:tabs>
                <w:tab w:val="left" w:pos="709"/>
              </w:tabs>
              <w:jc w:val="right"/>
              <w:rPr>
                <w:color w:val="000000"/>
                <w:lang w:eastAsia="en-US"/>
              </w:rPr>
            </w:pPr>
            <w:r>
              <w:rPr>
                <w:color w:val="000000"/>
                <w:lang w:eastAsia="en-US"/>
              </w:rPr>
              <w:t>42724,09</w:t>
            </w:r>
          </w:p>
        </w:tc>
        <w:tc>
          <w:tcPr>
            <w:tcW w:w="1494" w:type="dxa"/>
          </w:tcPr>
          <w:p w14:paraId="4489F1D7" w14:textId="54336B3C" w:rsidR="00E64EBB" w:rsidRPr="00E64EBB" w:rsidRDefault="00F417AF" w:rsidP="004E035B">
            <w:pPr>
              <w:tabs>
                <w:tab w:val="left" w:pos="709"/>
              </w:tabs>
              <w:jc w:val="right"/>
              <w:rPr>
                <w:color w:val="000000"/>
                <w:lang w:eastAsia="en-US"/>
              </w:rPr>
            </w:pPr>
            <w:r>
              <w:rPr>
                <w:color w:val="000000"/>
                <w:lang w:eastAsia="en-US"/>
              </w:rPr>
              <w:t>1926,02</w:t>
            </w:r>
          </w:p>
        </w:tc>
        <w:tc>
          <w:tcPr>
            <w:tcW w:w="1529" w:type="dxa"/>
            <w:shd w:val="clear" w:color="auto" w:fill="auto"/>
            <w:vAlign w:val="center"/>
          </w:tcPr>
          <w:p w14:paraId="7B0F961A" w14:textId="64F62448" w:rsidR="00E64EBB" w:rsidRPr="00E64EBB" w:rsidRDefault="00B52EF2" w:rsidP="004E035B">
            <w:pPr>
              <w:tabs>
                <w:tab w:val="left" w:pos="709"/>
              </w:tabs>
              <w:jc w:val="right"/>
              <w:rPr>
                <w:color w:val="000000"/>
                <w:lang w:eastAsia="en-US"/>
              </w:rPr>
            </w:pPr>
            <w:r>
              <w:rPr>
                <w:color w:val="000000"/>
                <w:lang w:eastAsia="en-US"/>
              </w:rPr>
              <w:t>67813,65</w:t>
            </w:r>
          </w:p>
        </w:tc>
      </w:tr>
    </w:tbl>
    <w:p w14:paraId="169C6AFF" w14:textId="77777777" w:rsidR="006F4804" w:rsidRDefault="006F4804" w:rsidP="00B436DB">
      <w:pPr>
        <w:tabs>
          <w:tab w:val="left" w:pos="709"/>
        </w:tabs>
        <w:ind w:firstLine="567"/>
        <w:jc w:val="both"/>
        <w:rPr>
          <w:lang w:eastAsia="en-US"/>
        </w:rPr>
      </w:pPr>
      <w:bookmarkStart w:id="0" w:name="_Hlk133304793"/>
    </w:p>
    <w:p w14:paraId="5FAA802F" w14:textId="77777777" w:rsidR="006F4804" w:rsidRDefault="006F4804" w:rsidP="00B436DB">
      <w:pPr>
        <w:tabs>
          <w:tab w:val="left" w:pos="709"/>
        </w:tabs>
        <w:ind w:firstLine="567"/>
        <w:jc w:val="both"/>
        <w:rPr>
          <w:lang w:eastAsia="en-US"/>
        </w:rPr>
      </w:pPr>
    </w:p>
    <w:p w14:paraId="4B96EBD0" w14:textId="4006A53D" w:rsidR="00B436DB" w:rsidRPr="00B436DB" w:rsidRDefault="006F4804" w:rsidP="00B436DB">
      <w:pPr>
        <w:tabs>
          <w:tab w:val="left" w:pos="709"/>
        </w:tabs>
        <w:ind w:firstLine="567"/>
        <w:jc w:val="both"/>
        <w:rPr>
          <w:lang w:eastAsia="en-US"/>
        </w:rPr>
      </w:pPr>
      <w:r>
        <w:rPr>
          <w:lang w:eastAsia="en-US"/>
        </w:rPr>
        <w:t xml:space="preserve">  </w:t>
      </w:r>
      <w:r w:rsidR="00B436DB" w:rsidRPr="00B436DB">
        <w:rPr>
          <w:lang w:eastAsia="en-US"/>
        </w:rPr>
        <w:t xml:space="preserve">Savivaldybei pervestos, bet negautos sumos </w:t>
      </w:r>
      <w:r w:rsidR="00C3516E">
        <w:rPr>
          <w:lang w:eastAsia="en-US"/>
        </w:rPr>
        <w:t>12485,24</w:t>
      </w:r>
      <w:r w:rsidR="00B436DB" w:rsidRPr="00B436DB">
        <w:rPr>
          <w:lang w:eastAsia="en-US"/>
        </w:rPr>
        <w:t xml:space="preserve"> Eur.</w:t>
      </w:r>
    </w:p>
    <w:p w14:paraId="1DB5CB01" w14:textId="455D228F" w:rsidR="00B436DB" w:rsidRPr="0083113F" w:rsidRDefault="00D3148E" w:rsidP="00D3148E">
      <w:pPr>
        <w:rPr>
          <w:lang w:eastAsia="en-US"/>
        </w:rPr>
      </w:pPr>
      <w:r>
        <w:rPr>
          <w:lang w:eastAsia="en-US"/>
        </w:rPr>
        <w:t xml:space="preserve">       </w:t>
      </w:r>
      <w:r w:rsidRPr="00157B70">
        <w:rPr>
          <w:b/>
          <w:bCs/>
          <w:lang w:eastAsia="en-US"/>
        </w:rPr>
        <w:t>3</w:t>
      </w:r>
      <w:r w:rsidR="00157B70">
        <w:rPr>
          <w:b/>
          <w:bCs/>
          <w:lang w:eastAsia="en-US"/>
        </w:rPr>
        <w:t>.</w:t>
      </w:r>
      <w:r w:rsidRPr="00157B70">
        <w:rPr>
          <w:b/>
          <w:bCs/>
          <w:lang w:eastAsia="en-US"/>
        </w:rPr>
        <w:t>2</w:t>
      </w:r>
      <w:r>
        <w:rPr>
          <w:lang w:eastAsia="en-US"/>
        </w:rPr>
        <w:t xml:space="preserve">    </w:t>
      </w:r>
      <w:r w:rsidR="00B436DB" w:rsidRPr="0083113F">
        <w:rPr>
          <w:lang w:eastAsia="en-US"/>
        </w:rPr>
        <w:t>Atidėjiniai, neapibrėžtieji įsipareigojimai, neapibrėžtasis turtas ir po</w:t>
      </w:r>
      <w:r w:rsidR="004D3867" w:rsidRPr="0083113F">
        <w:rPr>
          <w:lang w:eastAsia="en-US"/>
        </w:rPr>
        <w:t xml:space="preserve"> </w:t>
      </w:r>
      <w:r w:rsidR="00B436DB" w:rsidRPr="0083113F">
        <w:rPr>
          <w:lang w:eastAsia="en-US"/>
        </w:rPr>
        <w:t>ataskaitiniai įvykiai.</w:t>
      </w:r>
    </w:p>
    <w:p w14:paraId="5A2A196D" w14:textId="28A063A2" w:rsidR="00B436DB" w:rsidRPr="00B436DB" w:rsidRDefault="003605E3" w:rsidP="00B436DB">
      <w:pPr>
        <w:jc w:val="both"/>
        <w:rPr>
          <w:lang w:eastAsia="en-US"/>
        </w:rPr>
      </w:pPr>
      <w:r>
        <w:rPr>
          <w:b/>
          <w:bCs/>
          <w:lang w:eastAsia="en-US"/>
        </w:rPr>
        <w:t xml:space="preserve">         </w:t>
      </w:r>
      <w:r w:rsidR="00B436DB" w:rsidRPr="00B436DB">
        <w:rPr>
          <w:lang w:eastAsia="en-US"/>
        </w:rPr>
        <w:t xml:space="preserve">Ilgalaikiai atidėjiniai – </w:t>
      </w:r>
      <w:r w:rsidR="00B436DB">
        <w:rPr>
          <w:lang w:eastAsia="en-US"/>
        </w:rPr>
        <w:t>13343,60</w:t>
      </w:r>
      <w:r w:rsidR="00B436DB" w:rsidRPr="00B436DB">
        <w:rPr>
          <w:lang w:eastAsia="en-US"/>
        </w:rPr>
        <w:t xml:space="preserve"> Eur Tai paskaičiuotos išeitinės kompensacijos pensi</w:t>
      </w:r>
      <w:r w:rsidR="004D3867">
        <w:rPr>
          <w:lang w:eastAsia="en-US"/>
        </w:rPr>
        <w:t xml:space="preserve">ninko </w:t>
      </w:r>
      <w:r w:rsidR="00B436DB" w:rsidRPr="00B436DB">
        <w:rPr>
          <w:lang w:eastAsia="en-US"/>
        </w:rPr>
        <w:t>amžiaus žmonėms iš biudžeto lėšų aplinkai finansuoti. Išeitinių išmokų atidėjiniai nediskontuoti, nes jų diskontavimas neturi jokios įtakos jų išmokėjimui.</w:t>
      </w:r>
    </w:p>
    <w:bookmarkEnd w:id="0"/>
    <w:p w14:paraId="403F125A" w14:textId="77777777" w:rsidR="00B436DB" w:rsidRPr="00B436DB" w:rsidRDefault="00B436DB" w:rsidP="00B436DB">
      <w:pPr>
        <w:jc w:val="both"/>
        <w:rPr>
          <w:lang w:eastAsia="en-US"/>
        </w:rPr>
      </w:pPr>
    </w:p>
    <w:p w14:paraId="1DFFE526" w14:textId="4EC1B0AF" w:rsidR="00D3148E" w:rsidRDefault="00157B70" w:rsidP="00D3148E">
      <w:pPr>
        <w:tabs>
          <w:tab w:val="left" w:pos="709"/>
        </w:tabs>
        <w:jc w:val="both"/>
        <w:rPr>
          <w:lang w:eastAsia="en-US"/>
        </w:rPr>
      </w:pPr>
      <w:r>
        <w:rPr>
          <w:lang w:eastAsia="en-US"/>
        </w:rPr>
        <w:t xml:space="preserve">       </w:t>
      </w:r>
      <w:r w:rsidRPr="00157B70">
        <w:rPr>
          <w:b/>
          <w:bCs/>
          <w:lang w:eastAsia="en-US"/>
        </w:rPr>
        <w:t>3</w:t>
      </w:r>
      <w:r>
        <w:rPr>
          <w:b/>
          <w:bCs/>
          <w:lang w:eastAsia="en-US"/>
        </w:rPr>
        <w:t>.</w:t>
      </w:r>
      <w:r w:rsidR="003605E3">
        <w:rPr>
          <w:b/>
          <w:bCs/>
          <w:lang w:eastAsia="en-US"/>
        </w:rPr>
        <w:t>3</w:t>
      </w:r>
      <w:r>
        <w:rPr>
          <w:lang w:eastAsia="en-US"/>
        </w:rPr>
        <w:t xml:space="preserve"> </w:t>
      </w:r>
      <w:r w:rsidR="00D3148E">
        <w:rPr>
          <w:lang w:eastAsia="en-US"/>
        </w:rPr>
        <w:t xml:space="preserve">Gautinos sumos iš savivaldybės biudžeto įstaigos pajamų įmokos sudaro </w:t>
      </w:r>
      <w:r w:rsidR="00C3516E">
        <w:rPr>
          <w:lang w:eastAsia="en-US"/>
        </w:rPr>
        <w:t>764,05</w:t>
      </w:r>
      <w:r w:rsidR="00D3148E">
        <w:rPr>
          <w:lang w:eastAsia="en-US"/>
        </w:rPr>
        <w:t xml:space="preserve"> Eur. </w:t>
      </w:r>
    </w:p>
    <w:p w14:paraId="7D069C0C" w14:textId="77777777" w:rsidR="00D3148E" w:rsidRDefault="00D3148E" w:rsidP="00D3148E">
      <w:pPr>
        <w:autoSpaceDE w:val="0"/>
        <w:autoSpaceDN w:val="0"/>
        <w:adjustRightInd w:val="0"/>
        <w:jc w:val="both"/>
        <w:rPr>
          <w:bCs/>
          <w:lang w:eastAsia="en-US"/>
        </w:rPr>
      </w:pPr>
      <w:r>
        <w:rPr>
          <w:bCs/>
          <w:lang w:eastAsia="en-US"/>
        </w:rPr>
        <w:t>Finansavimo sumų detalizavimas pateiktas 20 VSAFAS 4 priede.</w:t>
      </w:r>
    </w:p>
    <w:p w14:paraId="019D6FE0" w14:textId="514054BF" w:rsidR="00D3148E" w:rsidRDefault="00157B70" w:rsidP="00157B70">
      <w:pPr>
        <w:jc w:val="both"/>
        <w:rPr>
          <w:lang w:eastAsia="en-US"/>
        </w:rPr>
      </w:pPr>
      <w:r>
        <w:rPr>
          <w:lang w:eastAsia="en-US"/>
        </w:rPr>
        <w:t xml:space="preserve">       </w:t>
      </w:r>
      <w:r w:rsidRPr="00157B70">
        <w:rPr>
          <w:b/>
          <w:bCs/>
          <w:lang w:eastAsia="en-US"/>
        </w:rPr>
        <w:t>3</w:t>
      </w:r>
      <w:r>
        <w:rPr>
          <w:b/>
          <w:bCs/>
          <w:lang w:eastAsia="en-US"/>
        </w:rPr>
        <w:t>.</w:t>
      </w:r>
      <w:r w:rsidR="003605E3">
        <w:rPr>
          <w:b/>
          <w:bCs/>
          <w:lang w:eastAsia="en-US"/>
        </w:rPr>
        <w:t>4</w:t>
      </w:r>
      <w:r w:rsidRPr="00157B70">
        <w:rPr>
          <w:b/>
          <w:bCs/>
          <w:lang w:eastAsia="en-US"/>
        </w:rPr>
        <w:t xml:space="preserve"> </w:t>
      </w:r>
      <w:r w:rsidR="00D3148E">
        <w:rPr>
          <w:lang w:eastAsia="en-US"/>
        </w:rPr>
        <w:t>Finansavimo sumos apskaitomos pagal lėšų gavimo šaltinius skirstomos:</w:t>
      </w:r>
    </w:p>
    <w:p w14:paraId="0FD98D10" w14:textId="5B6B81FB" w:rsidR="00D3148E" w:rsidRDefault="00D3148E" w:rsidP="00D3148E">
      <w:pPr>
        <w:autoSpaceDE w:val="0"/>
        <w:autoSpaceDN w:val="0"/>
        <w:adjustRightInd w:val="0"/>
        <w:ind w:firstLine="567"/>
        <w:jc w:val="both"/>
        <w:rPr>
          <w:bCs/>
          <w:lang w:eastAsia="en-US"/>
        </w:rPr>
      </w:pPr>
      <w:r>
        <w:rPr>
          <w:bCs/>
          <w:lang w:eastAsia="en-US"/>
        </w:rPr>
        <w:t xml:space="preserve">Iš valstybės biudžeto – </w:t>
      </w:r>
      <w:r w:rsidR="00C3516E">
        <w:rPr>
          <w:bCs/>
          <w:lang w:eastAsia="en-US"/>
        </w:rPr>
        <w:t>227003,67</w:t>
      </w:r>
      <w:r>
        <w:rPr>
          <w:bCs/>
          <w:lang w:eastAsia="en-US"/>
        </w:rPr>
        <w:t xml:space="preserve"> Eur: ML – </w:t>
      </w:r>
      <w:r w:rsidR="00C3516E">
        <w:rPr>
          <w:bCs/>
          <w:lang w:eastAsia="en-US"/>
        </w:rPr>
        <w:t>218541,50</w:t>
      </w:r>
      <w:r>
        <w:rPr>
          <w:bCs/>
          <w:lang w:eastAsia="en-US"/>
        </w:rPr>
        <w:t xml:space="preserve"> Eur, </w:t>
      </w:r>
      <w:proofErr w:type="spellStart"/>
      <w:r>
        <w:rPr>
          <w:bCs/>
          <w:lang w:eastAsia="en-US"/>
        </w:rPr>
        <w:t>soc</w:t>
      </w:r>
      <w:proofErr w:type="spellEnd"/>
      <w:r>
        <w:rPr>
          <w:bCs/>
          <w:lang w:eastAsia="en-US"/>
        </w:rPr>
        <w:t xml:space="preserve">. nemokamas priešmokyklinių vaikų  maitinimas  </w:t>
      </w:r>
      <w:r w:rsidR="00C3516E">
        <w:rPr>
          <w:bCs/>
          <w:lang w:eastAsia="en-US"/>
        </w:rPr>
        <w:t>8400,00</w:t>
      </w:r>
      <w:r>
        <w:rPr>
          <w:bCs/>
          <w:lang w:eastAsia="en-US"/>
        </w:rPr>
        <w:t xml:space="preserve"> Eur, programa vaisiai 62,17 Eur.</w:t>
      </w:r>
    </w:p>
    <w:p w14:paraId="28056A7E" w14:textId="138C0ED6" w:rsidR="00D3148E" w:rsidRDefault="00D3148E" w:rsidP="00D3148E">
      <w:pPr>
        <w:autoSpaceDE w:val="0"/>
        <w:autoSpaceDN w:val="0"/>
        <w:adjustRightInd w:val="0"/>
        <w:ind w:firstLine="567"/>
        <w:jc w:val="both"/>
        <w:rPr>
          <w:bCs/>
          <w:lang w:eastAsia="en-US"/>
        </w:rPr>
      </w:pPr>
      <w:r>
        <w:rPr>
          <w:bCs/>
          <w:lang w:eastAsia="en-US"/>
        </w:rPr>
        <w:t xml:space="preserve">Iš savivaldybės biudžeto – </w:t>
      </w:r>
      <w:r w:rsidR="00C3516E">
        <w:rPr>
          <w:bCs/>
          <w:lang w:eastAsia="en-US"/>
        </w:rPr>
        <w:t>308374,42</w:t>
      </w:r>
      <w:r>
        <w:rPr>
          <w:bCs/>
          <w:lang w:eastAsia="en-US"/>
        </w:rPr>
        <w:t xml:space="preserve"> Eur: SB – </w:t>
      </w:r>
      <w:r w:rsidR="00C3516E">
        <w:rPr>
          <w:bCs/>
          <w:lang w:eastAsia="en-US"/>
        </w:rPr>
        <w:t>300003,22</w:t>
      </w:r>
      <w:r>
        <w:rPr>
          <w:bCs/>
          <w:lang w:eastAsia="en-US"/>
        </w:rPr>
        <w:t xml:space="preserve"> Eur, SB likutis – 8371,20 Eur.</w:t>
      </w:r>
    </w:p>
    <w:p w14:paraId="72D33448" w14:textId="07980DCD" w:rsidR="00D3148E" w:rsidRDefault="00D3148E" w:rsidP="00D3148E">
      <w:pPr>
        <w:autoSpaceDE w:val="0"/>
        <w:autoSpaceDN w:val="0"/>
        <w:adjustRightInd w:val="0"/>
        <w:ind w:firstLine="567"/>
        <w:jc w:val="both"/>
        <w:rPr>
          <w:bCs/>
          <w:lang w:eastAsia="en-US"/>
        </w:rPr>
      </w:pPr>
      <w:r>
        <w:rPr>
          <w:bCs/>
          <w:lang w:eastAsia="en-US"/>
        </w:rPr>
        <w:t xml:space="preserve">Iš ES lėšų  parama </w:t>
      </w:r>
      <w:r w:rsidR="00157B70">
        <w:rPr>
          <w:bCs/>
          <w:lang w:eastAsia="en-US"/>
        </w:rPr>
        <w:t>106,71</w:t>
      </w:r>
      <w:r>
        <w:rPr>
          <w:bCs/>
          <w:lang w:eastAsia="en-US"/>
        </w:rPr>
        <w:t xml:space="preserve"> Eur.</w:t>
      </w:r>
    </w:p>
    <w:p w14:paraId="2B89A1CF" w14:textId="19A4C916" w:rsidR="00D3148E" w:rsidRDefault="00157B70" w:rsidP="00157B70">
      <w:pPr>
        <w:autoSpaceDE w:val="0"/>
        <w:autoSpaceDN w:val="0"/>
        <w:adjustRightInd w:val="0"/>
        <w:jc w:val="both"/>
        <w:rPr>
          <w:bCs/>
          <w:lang w:val="en-US" w:eastAsia="en-US"/>
        </w:rPr>
      </w:pPr>
      <w:r>
        <w:rPr>
          <w:b/>
          <w:lang w:eastAsia="en-US"/>
        </w:rPr>
        <w:t xml:space="preserve">        </w:t>
      </w:r>
      <w:r w:rsidRPr="00157B70">
        <w:rPr>
          <w:b/>
          <w:lang w:eastAsia="en-US"/>
        </w:rPr>
        <w:t>3</w:t>
      </w:r>
      <w:r>
        <w:rPr>
          <w:b/>
          <w:lang w:eastAsia="en-US"/>
        </w:rPr>
        <w:t>.</w:t>
      </w:r>
      <w:r w:rsidR="003605E3">
        <w:rPr>
          <w:b/>
          <w:lang w:eastAsia="en-US"/>
        </w:rPr>
        <w:t>5</w:t>
      </w:r>
      <w:r>
        <w:rPr>
          <w:bCs/>
          <w:lang w:eastAsia="en-US"/>
        </w:rPr>
        <w:t xml:space="preserve"> </w:t>
      </w:r>
      <w:r w:rsidR="00D3148E">
        <w:rPr>
          <w:bCs/>
          <w:lang w:eastAsia="en-US"/>
        </w:rPr>
        <w:t>Ataskaitiniu laikotarpiu trumpalaikius įsipareigojimus sudarė</w:t>
      </w:r>
      <w:r w:rsidR="00D3148E">
        <w:rPr>
          <w:bCs/>
          <w:lang w:val="en-US" w:eastAsia="en-US"/>
        </w:rPr>
        <w:t>:</w:t>
      </w:r>
    </w:p>
    <w:p w14:paraId="5A1156CB" w14:textId="594525ED" w:rsidR="00D3148E" w:rsidRDefault="00D3148E" w:rsidP="00D3148E">
      <w:pPr>
        <w:autoSpaceDE w:val="0"/>
        <w:autoSpaceDN w:val="0"/>
        <w:adjustRightInd w:val="0"/>
        <w:ind w:firstLine="567"/>
        <w:jc w:val="both"/>
        <w:rPr>
          <w:bCs/>
          <w:lang w:eastAsia="en-US"/>
        </w:rPr>
      </w:pPr>
      <w:r>
        <w:rPr>
          <w:bCs/>
          <w:lang w:eastAsia="en-US"/>
        </w:rPr>
        <w:t xml:space="preserve"> tiekėjams mokėtinos sumos </w:t>
      </w:r>
      <w:r w:rsidR="00F417AF">
        <w:rPr>
          <w:bCs/>
          <w:lang w:eastAsia="en-US"/>
        </w:rPr>
        <w:t>9190,04</w:t>
      </w:r>
      <w:r>
        <w:rPr>
          <w:bCs/>
          <w:lang w:eastAsia="en-US"/>
        </w:rPr>
        <w:t xml:space="preserve"> Eur, iš jų ML – </w:t>
      </w:r>
      <w:r w:rsidR="00157B70">
        <w:rPr>
          <w:bCs/>
          <w:lang w:eastAsia="en-US"/>
        </w:rPr>
        <w:t>81,65</w:t>
      </w:r>
      <w:r>
        <w:rPr>
          <w:bCs/>
          <w:lang w:eastAsia="en-US"/>
        </w:rPr>
        <w:t xml:space="preserve"> Eur, savivaldybės lėšų – </w:t>
      </w:r>
      <w:r w:rsidR="00F417AF">
        <w:rPr>
          <w:bCs/>
          <w:lang w:eastAsia="en-US"/>
        </w:rPr>
        <w:t>3180,45</w:t>
      </w:r>
      <w:r>
        <w:rPr>
          <w:bCs/>
          <w:lang w:eastAsia="en-US"/>
        </w:rPr>
        <w:t xml:space="preserve"> Eur, 30 lėšų – </w:t>
      </w:r>
      <w:r w:rsidR="00F417AF">
        <w:rPr>
          <w:bCs/>
          <w:lang w:eastAsia="en-US"/>
        </w:rPr>
        <w:t>4001,92</w:t>
      </w:r>
      <w:r>
        <w:rPr>
          <w:bCs/>
          <w:lang w:eastAsia="en-US"/>
        </w:rPr>
        <w:t xml:space="preserve"> Eur, Europos lėšų  parama </w:t>
      </w:r>
      <w:r w:rsidR="00F417AF">
        <w:rPr>
          <w:bCs/>
          <w:lang w:eastAsia="en-US"/>
        </w:rPr>
        <w:t>1926,02</w:t>
      </w:r>
      <w:r>
        <w:rPr>
          <w:bCs/>
          <w:lang w:eastAsia="en-US"/>
        </w:rPr>
        <w:t xml:space="preserve"> Eur</w:t>
      </w:r>
    </w:p>
    <w:p w14:paraId="663B865B" w14:textId="480F9580" w:rsidR="00D3148E" w:rsidRDefault="00D3148E" w:rsidP="00D3148E">
      <w:pPr>
        <w:autoSpaceDE w:val="0"/>
        <w:autoSpaceDN w:val="0"/>
        <w:adjustRightInd w:val="0"/>
        <w:ind w:firstLine="567"/>
        <w:jc w:val="both"/>
        <w:rPr>
          <w:bCs/>
          <w:lang w:eastAsia="en-US"/>
        </w:rPr>
      </w:pPr>
      <w:r>
        <w:rPr>
          <w:bCs/>
          <w:lang w:eastAsia="en-US"/>
        </w:rPr>
        <w:t xml:space="preserve">su darbo užmokesčių susiję įsipareigojimai </w:t>
      </w:r>
      <w:r w:rsidR="007C39A2">
        <w:rPr>
          <w:bCs/>
          <w:lang w:eastAsia="en-US"/>
        </w:rPr>
        <w:t>54024,00</w:t>
      </w:r>
      <w:r>
        <w:rPr>
          <w:bCs/>
          <w:lang w:eastAsia="en-US"/>
        </w:rPr>
        <w:t xml:space="preserve"> Eur (ML – </w:t>
      </w:r>
      <w:r w:rsidR="007C39A2">
        <w:rPr>
          <w:bCs/>
          <w:lang w:eastAsia="en-US"/>
        </w:rPr>
        <w:t>19017,90</w:t>
      </w:r>
      <w:r>
        <w:rPr>
          <w:bCs/>
          <w:lang w:eastAsia="en-US"/>
        </w:rPr>
        <w:t xml:space="preserve"> Eur, SB – </w:t>
      </w:r>
      <w:r w:rsidR="007C39A2">
        <w:rPr>
          <w:bCs/>
          <w:lang w:eastAsia="en-US"/>
        </w:rPr>
        <w:t>35006,10</w:t>
      </w:r>
      <w:r>
        <w:rPr>
          <w:bCs/>
          <w:lang w:eastAsia="en-US"/>
        </w:rPr>
        <w:t xml:space="preserve"> Eur).</w:t>
      </w:r>
    </w:p>
    <w:p w14:paraId="149E3E62" w14:textId="78E1D7C7" w:rsidR="00D3148E" w:rsidRDefault="00D3148E" w:rsidP="00D3148E">
      <w:pPr>
        <w:ind w:firstLine="567"/>
        <w:jc w:val="both"/>
        <w:rPr>
          <w:bCs/>
          <w:lang w:eastAsia="en-US"/>
        </w:rPr>
      </w:pPr>
      <w:r>
        <w:rPr>
          <w:bCs/>
          <w:lang w:eastAsia="en-US"/>
        </w:rPr>
        <w:t xml:space="preserve">sukauptos mokėtinos sumos – </w:t>
      </w:r>
      <w:r w:rsidR="003605E3">
        <w:rPr>
          <w:bCs/>
          <w:lang w:eastAsia="en-US"/>
        </w:rPr>
        <w:t>53251,64</w:t>
      </w:r>
      <w:r>
        <w:rPr>
          <w:bCs/>
          <w:lang w:eastAsia="en-US"/>
        </w:rPr>
        <w:t xml:space="preserve"> Eur. Tai sudaro savivaldybės biudžeto lėšos atostoginiams </w:t>
      </w:r>
      <w:r w:rsidR="003605E3">
        <w:rPr>
          <w:bCs/>
          <w:lang w:eastAsia="en-US"/>
        </w:rPr>
        <w:t>29165,86</w:t>
      </w:r>
      <w:r>
        <w:rPr>
          <w:bCs/>
          <w:lang w:eastAsia="en-US"/>
        </w:rPr>
        <w:t xml:space="preserve"> Eur ir socialinio draudimo įmokoms </w:t>
      </w:r>
      <w:r w:rsidR="003605E3">
        <w:rPr>
          <w:bCs/>
          <w:lang w:eastAsia="en-US"/>
        </w:rPr>
        <w:t>461,24</w:t>
      </w:r>
      <w:r>
        <w:rPr>
          <w:bCs/>
          <w:lang w:eastAsia="en-US"/>
        </w:rPr>
        <w:t xml:space="preserve"> Eur, mokymo ikimokyklinės lėšos atitinkamai </w:t>
      </w:r>
      <w:r w:rsidR="003605E3">
        <w:rPr>
          <w:bCs/>
          <w:lang w:eastAsia="en-US"/>
        </w:rPr>
        <w:t>13958,63</w:t>
      </w:r>
      <w:r>
        <w:rPr>
          <w:bCs/>
          <w:lang w:eastAsia="en-US"/>
        </w:rPr>
        <w:t xml:space="preserve"> Eur ir </w:t>
      </w:r>
      <w:r w:rsidR="003605E3">
        <w:rPr>
          <w:bCs/>
          <w:lang w:eastAsia="en-US"/>
        </w:rPr>
        <w:t>217,13</w:t>
      </w:r>
      <w:r>
        <w:rPr>
          <w:bCs/>
          <w:lang w:eastAsia="en-US"/>
        </w:rPr>
        <w:t xml:space="preserve"> Eur, priešmokyklinės lėšos </w:t>
      </w:r>
      <w:r w:rsidR="003605E3">
        <w:rPr>
          <w:bCs/>
          <w:lang w:eastAsia="en-US"/>
        </w:rPr>
        <w:t>9305,76</w:t>
      </w:r>
      <w:r>
        <w:rPr>
          <w:bCs/>
          <w:lang w:eastAsia="en-US"/>
        </w:rPr>
        <w:t xml:space="preserve"> ir </w:t>
      </w:r>
      <w:r w:rsidR="003605E3">
        <w:rPr>
          <w:bCs/>
          <w:lang w:eastAsia="en-US"/>
        </w:rPr>
        <w:t>143,02</w:t>
      </w:r>
      <w:r>
        <w:rPr>
          <w:bCs/>
          <w:lang w:eastAsia="en-US"/>
        </w:rPr>
        <w:t xml:space="preserve"> Eur.</w:t>
      </w:r>
    </w:p>
    <w:p w14:paraId="15CBE99B" w14:textId="12B47414" w:rsidR="00D3148E" w:rsidRDefault="00D3148E" w:rsidP="00D3148E">
      <w:pPr>
        <w:jc w:val="both"/>
      </w:pPr>
      <w:r w:rsidRPr="00157B70">
        <w:rPr>
          <w:b/>
          <w:lang w:eastAsia="en-US"/>
        </w:rPr>
        <w:t xml:space="preserve">  </w:t>
      </w:r>
      <w:r w:rsidR="00157B70">
        <w:rPr>
          <w:b/>
          <w:lang w:eastAsia="en-US"/>
        </w:rPr>
        <w:t xml:space="preserve">  </w:t>
      </w:r>
      <w:r w:rsidRPr="00157B70">
        <w:rPr>
          <w:b/>
          <w:lang w:eastAsia="en-US"/>
        </w:rPr>
        <w:t xml:space="preserve">   </w:t>
      </w:r>
      <w:r w:rsidR="00157B70" w:rsidRPr="00157B70">
        <w:rPr>
          <w:b/>
          <w:lang w:eastAsia="en-US"/>
        </w:rPr>
        <w:t>3</w:t>
      </w:r>
      <w:r w:rsidR="00157B70">
        <w:rPr>
          <w:b/>
          <w:lang w:eastAsia="en-US"/>
        </w:rPr>
        <w:t>.</w:t>
      </w:r>
      <w:r w:rsidR="003605E3">
        <w:rPr>
          <w:b/>
          <w:lang w:eastAsia="en-US"/>
        </w:rPr>
        <w:t>6</w:t>
      </w:r>
      <w:r>
        <w:rPr>
          <w:bCs/>
          <w:lang w:eastAsia="en-US"/>
        </w:rPr>
        <w:t xml:space="preserve">   </w:t>
      </w:r>
      <w:r>
        <w:t>Neapibrėžto turto neturime.</w:t>
      </w:r>
    </w:p>
    <w:p w14:paraId="4ACD9508" w14:textId="77777777" w:rsidR="00D3148E" w:rsidRDefault="00D3148E" w:rsidP="00D3148E">
      <w:pPr>
        <w:jc w:val="both"/>
      </w:pPr>
      <w:r>
        <w:t xml:space="preserve">         Reikšmingų įvykių po paskutinės tarpinio ataskaitinio laikotarpio dienos  nebuvo.</w:t>
      </w:r>
    </w:p>
    <w:p w14:paraId="4BDB36D0" w14:textId="39CA06A0" w:rsidR="00D3148E" w:rsidRDefault="00D3148E" w:rsidP="00D3148E">
      <w:pPr>
        <w:jc w:val="both"/>
      </w:pPr>
      <w:r w:rsidRPr="00157B70">
        <w:rPr>
          <w:b/>
          <w:bCs/>
        </w:rPr>
        <w:t xml:space="preserve"> </w:t>
      </w:r>
      <w:r w:rsidR="00157B70" w:rsidRPr="00157B70">
        <w:rPr>
          <w:b/>
          <w:bCs/>
        </w:rPr>
        <w:t xml:space="preserve"> </w:t>
      </w:r>
      <w:r w:rsidRPr="00157B70">
        <w:rPr>
          <w:b/>
          <w:bCs/>
        </w:rPr>
        <w:t xml:space="preserve">     </w:t>
      </w:r>
      <w:r w:rsidR="00157B70" w:rsidRPr="00157B70">
        <w:rPr>
          <w:b/>
          <w:bCs/>
        </w:rPr>
        <w:t>3.</w:t>
      </w:r>
      <w:r w:rsidR="003605E3">
        <w:rPr>
          <w:b/>
          <w:bCs/>
        </w:rPr>
        <w:t>7</w:t>
      </w:r>
      <w:r>
        <w:t xml:space="preserve">   </w:t>
      </w:r>
      <w:r>
        <w:rPr>
          <w:bCs/>
        </w:rPr>
        <w:t>Klaidų taisymas</w:t>
      </w:r>
    </w:p>
    <w:p w14:paraId="33D29A69" w14:textId="77777777" w:rsidR="00D3148E" w:rsidRDefault="00D3148E" w:rsidP="00D3148E">
      <w:pPr>
        <w:jc w:val="both"/>
      </w:pPr>
      <w:r>
        <w:t xml:space="preserve">         Per ataskaitinį laikotarpį klaidų taisymo nebuvo.</w:t>
      </w:r>
    </w:p>
    <w:p w14:paraId="317A879C" w14:textId="77777777" w:rsidR="00D3148E" w:rsidRDefault="00D3148E" w:rsidP="00D3148E">
      <w:pPr>
        <w:jc w:val="both"/>
      </w:pPr>
      <w:r>
        <w:t xml:space="preserve">         Teisinių ginčų neturime.</w:t>
      </w:r>
    </w:p>
    <w:p w14:paraId="44B140DE" w14:textId="77777777" w:rsidR="00D3148E" w:rsidRDefault="00D3148E" w:rsidP="00D3148E">
      <w:pPr>
        <w:ind w:firstLine="720"/>
        <w:jc w:val="both"/>
      </w:pPr>
    </w:p>
    <w:p w14:paraId="1A21008E" w14:textId="77777777" w:rsidR="005D789C" w:rsidRDefault="005D789C" w:rsidP="00393A12">
      <w:pPr>
        <w:ind w:firstLine="720"/>
        <w:jc w:val="both"/>
      </w:pPr>
    </w:p>
    <w:p w14:paraId="45EC2467" w14:textId="77777777" w:rsidR="00E64EBB" w:rsidRDefault="00E64EBB" w:rsidP="00393A12">
      <w:pPr>
        <w:ind w:firstLine="720"/>
        <w:jc w:val="both"/>
      </w:pPr>
    </w:p>
    <w:p w14:paraId="3F214ACE" w14:textId="77777777" w:rsidR="00E64EBB" w:rsidRDefault="00E64EBB" w:rsidP="00393A12">
      <w:pPr>
        <w:ind w:firstLine="720"/>
        <w:jc w:val="both"/>
      </w:pPr>
    </w:p>
    <w:p w14:paraId="529C2AD4" w14:textId="77777777" w:rsidR="00E64EBB" w:rsidRPr="00271B7F" w:rsidRDefault="00E64EBB" w:rsidP="00393A12">
      <w:pPr>
        <w:ind w:firstLine="720"/>
        <w:jc w:val="both"/>
      </w:pPr>
    </w:p>
    <w:p w14:paraId="7F1F1A87" w14:textId="497E4BD2" w:rsidR="00D70282" w:rsidRDefault="00802ECB" w:rsidP="003F7A32">
      <w:pPr>
        <w:jc w:val="both"/>
      </w:pPr>
      <w:r>
        <w:t>Direktor</w:t>
      </w:r>
      <w:r w:rsidR="00FB2745">
        <w:t>ė</w:t>
      </w:r>
      <w:r w:rsidR="00162703">
        <w:tab/>
      </w:r>
      <w:r w:rsidR="00162703">
        <w:tab/>
      </w:r>
      <w:r w:rsidR="00162703">
        <w:tab/>
      </w:r>
      <w:r w:rsidR="00162703">
        <w:tab/>
      </w:r>
      <w:r w:rsidR="00162703">
        <w:tab/>
      </w:r>
      <w:r w:rsidR="00162703">
        <w:tab/>
      </w:r>
      <w:r w:rsidR="00487C7E">
        <w:t xml:space="preserve">        </w:t>
      </w:r>
      <w:r w:rsidR="004D3867">
        <w:t xml:space="preserve">                      </w:t>
      </w:r>
      <w:r w:rsidR="00487C7E">
        <w:t xml:space="preserve">   </w:t>
      </w:r>
      <w:r w:rsidR="00162703">
        <w:t xml:space="preserve"> </w:t>
      </w:r>
      <w:r w:rsidR="001A7874">
        <w:t>Zita Kuncienė</w:t>
      </w:r>
    </w:p>
    <w:p w14:paraId="6749B02A" w14:textId="77777777" w:rsidR="0086149C" w:rsidRDefault="0086149C" w:rsidP="003F7A32">
      <w:pPr>
        <w:jc w:val="both"/>
      </w:pPr>
    </w:p>
    <w:p w14:paraId="10F836AB" w14:textId="7E47DC6A" w:rsidR="00FF4059" w:rsidRDefault="003A60DC" w:rsidP="003F7A32">
      <w:pPr>
        <w:jc w:val="both"/>
      </w:pPr>
      <w:r>
        <w:t xml:space="preserve">Ikimokyklinio ugdymo įstaigų apskaitos vadovė               </w:t>
      </w:r>
      <w:r w:rsidR="004D3867">
        <w:t xml:space="preserve">                      </w:t>
      </w:r>
      <w:r>
        <w:t xml:space="preserve">    Kristina Andrikonytė</w:t>
      </w:r>
    </w:p>
    <w:p w14:paraId="3CD8C5C1" w14:textId="77777777" w:rsidR="00562E14" w:rsidRPr="00562E14" w:rsidRDefault="00562E14" w:rsidP="00562E14"/>
    <w:p w14:paraId="766DC9C0" w14:textId="77777777" w:rsidR="00562E14" w:rsidRPr="00562E14" w:rsidRDefault="00562E14" w:rsidP="00562E14"/>
    <w:p w14:paraId="2C39AF91" w14:textId="77777777" w:rsidR="00562E14" w:rsidRPr="00562E14" w:rsidRDefault="00562E14" w:rsidP="00562E14"/>
    <w:p w14:paraId="75547098" w14:textId="77777777" w:rsidR="00562E14" w:rsidRPr="00562E14" w:rsidRDefault="00562E14" w:rsidP="00562E14"/>
    <w:p w14:paraId="49D39C50" w14:textId="77777777" w:rsidR="00562E14" w:rsidRPr="00562E14" w:rsidRDefault="00562E14" w:rsidP="00562E14"/>
    <w:p w14:paraId="387007E9" w14:textId="77777777" w:rsidR="00562E14" w:rsidRPr="00562E14" w:rsidRDefault="00562E14" w:rsidP="00562E14"/>
    <w:p w14:paraId="4E5954BF" w14:textId="77777777" w:rsidR="00562E14" w:rsidRDefault="00562E14" w:rsidP="00562E14"/>
    <w:p w14:paraId="6BED8736" w14:textId="77777777" w:rsidR="00562E14" w:rsidRDefault="00562E14" w:rsidP="00562E14">
      <w:r>
        <w:t xml:space="preserve">Parengė apskaitos specialistė Lina Jakaitienė tel. Nr.864993808 </w:t>
      </w:r>
    </w:p>
    <w:p w14:paraId="46CA2EA5" w14:textId="77777777" w:rsidR="00562E14" w:rsidRPr="00562E14" w:rsidRDefault="00562E14" w:rsidP="00562E14"/>
    <w:sectPr w:rsidR="00562E14" w:rsidRPr="00562E14" w:rsidSect="0086149C">
      <w:pgSz w:w="12240" w:h="15840"/>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AC7D" w14:textId="77777777" w:rsidR="00AD3B49" w:rsidRDefault="00AD3B49" w:rsidP="00B436DB">
      <w:r>
        <w:separator/>
      </w:r>
    </w:p>
  </w:endnote>
  <w:endnote w:type="continuationSeparator" w:id="0">
    <w:p w14:paraId="3C67F9A9" w14:textId="77777777" w:rsidR="00AD3B49" w:rsidRDefault="00AD3B49" w:rsidP="00B4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30BA" w14:textId="77777777" w:rsidR="00AD3B49" w:rsidRDefault="00AD3B49" w:rsidP="00B436DB">
      <w:r>
        <w:separator/>
      </w:r>
    </w:p>
  </w:footnote>
  <w:footnote w:type="continuationSeparator" w:id="0">
    <w:p w14:paraId="1EA3DF91" w14:textId="77777777" w:rsidR="00AD3B49" w:rsidRDefault="00AD3B49" w:rsidP="00B43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136"/>
    <w:multiLevelType w:val="hybridMultilevel"/>
    <w:tmpl w:val="86CE0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C9005A"/>
    <w:multiLevelType w:val="multilevel"/>
    <w:tmpl w:val="5894AAA0"/>
    <w:lvl w:ilvl="0">
      <w:start w:val="2016"/>
      <w:numFmt w:val="decimal"/>
      <w:lvlText w:val="%1"/>
      <w:lvlJc w:val="left"/>
      <w:pPr>
        <w:ind w:left="1128" w:hanging="1128"/>
      </w:pPr>
      <w:rPr>
        <w:rFonts w:hint="default"/>
      </w:rPr>
    </w:lvl>
    <w:lvl w:ilvl="1">
      <w:start w:val="4"/>
      <w:numFmt w:val="decimalZero"/>
      <w:lvlText w:val="%1-%2"/>
      <w:lvlJc w:val="left"/>
      <w:pPr>
        <w:ind w:left="1128" w:hanging="1128"/>
      </w:pPr>
      <w:rPr>
        <w:rFonts w:hint="default"/>
      </w:rPr>
    </w:lvl>
    <w:lvl w:ilvl="2">
      <w:start w:val="11"/>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4D45A1"/>
    <w:multiLevelType w:val="multilevel"/>
    <w:tmpl w:val="0C8A4480"/>
    <w:lvl w:ilvl="0">
      <w:start w:val="3"/>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54440E59"/>
    <w:multiLevelType w:val="hybridMultilevel"/>
    <w:tmpl w:val="E3E08D5E"/>
    <w:lvl w:ilvl="0" w:tplc="7662EC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F027DE"/>
    <w:multiLevelType w:val="multilevel"/>
    <w:tmpl w:val="74DC9F2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BB149A"/>
    <w:multiLevelType w:val="hybridMultilevel"/>
    <w:tmpl w:val="032E4976"/>
    <w:lvl w:ilvl="0" w:tplc="5B66BDE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16cid:durableId="738164339">
    <w:abstractNumId w:val="3"/>
  </w:num>
  <w:num w:numId="2" w16cid:durableId="801271822">
    <w:abstractNumId w:val="0"/>
  </w:num>
  <w:num w:numId="3" w16cid:durableId="949972936">
    <w:abstractNumId w:val="4"/>
  </w:num>
  <w:num w:numId="4" w16cid:durableId="1135951988">
    <w:abstractNumId w:val="1"/>
  </w:num>
  <w:num w:numId="5" w16cid:durableId="2042053094">
    <w:abstractNumId w:val="5"/>
  </w:num>
  <w:num w:numId="6" w16cid:durableId="200241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51"/>
    <w:rsid w:val="000119E4"/>
    <w:rsid w:val="00033097"/>
    <w:rsid w:val="0003760F"/>
    <w:rsid w:val="0006429A"/>
    <w:rsid w:val="00065E19"/>
    <w:rsid w:val="00072D8B"/>
    <w:rsid w:val="00083F28"/>
    <w:rsid w:val="000A10CA"/>
    <w:rsid w:val="000A3293"/>
    <w:rsid w:val="000B44D1"/>
    <w:rsid w:val="000E2E61"/>
    <w:rsid w:val="000F5603"/>
    <w:rsid w:val="000F57C6"/>
    <w:rsid w:val="00122B29"/>
    <w:rsid w:val="00157B70"/>
    <w:rsid w:val="00160F0A"/>
    <w:rsid w:val="00162703"/>
    <w:rsid w:val="001825CB"/>
    <w:rsid w:val="00183C0B"/>
    <w:rsid w:val="001A0CBC"/>
    <w:rsid w:val="001A1B5D"/>
    <w:rsid w:val="001A4552"/>
    <w:rsid w:val="001A7874"/>
    <w:rsid w:val="001B3428"/>
    <w:rsid w:val="001C2BB9"/>
    <w:rsid w:val="001C68AD"/>
    <w:rsid w:val="001D0491"/>
    <w:rsid w:val="001D24CC"/>
    <w:rsid w:val="001F0698"/>
    <w:rsid w:val="001F697B"/>
    <w:rsid w:val="002103A8"/>
    <w:rsid w:val="00212882"/>
    <w:rsid w:val="002128B2"/>
    <w:rsid w:val="00231AF6"/>
    <w:rsid w:val="00234847"/>
    <w:rsid w:val="00241D24"/>
    <w:rsid w:val="00243DD8"/>
    <w:rsid w:val="00246494"/>
    <w:rsid w:val="0025135A"/>
    <w:rsid w:val="00255791"/>
    <w:rsid w:val="00256A4A"/>
    <w:rsid w:val="00257BD7"/>
    <w:rsid w:val="0027079E"/>
    <w:rsid w:val="002A5FAD"/>
    <w:rsid w:val="002C1E0F"/>
    <w:rsid w:val="002C45F6"/>
    <w:rsid w:val="002F593A"/>
    <w:rsid w:val="00311CE1"/>
    <w:rsid w:val="00313640"/>
    <w:rsid w:val="00314E9C"/>
    <w:rsid w:val="00331DC2"/>
    <w:rsid w:val="0034055F"/>
    <w:rsid w:val="003568C9"/>
    <w:rsid w:val="003605E3"/>
    <w:rsid w:val="0036719C"/>
    <w:rsid w:val="00381C7E"/>
    <w:rsid w:val="0038536E"/>
    <w:rsid w:val="00393A12"/>
    <w:rsid w:val="003A60DC"/>
    <w:rsid w:val="003B3588"/>
    <w:rsid w:val="003C4C21"/>
    <w:rsid w:val="003C5C90"/>
    <w:rsid w:val="003E1859"/>
    <w:rsid w:val="003E1882"/>
    <w:rsid w:val="003E6C58"/>
    <w:rsid w:val="003F7A32"/>
    <w:rsid w:val="0045342D"/>
    <w:rsid w:val="00463237"/>
    <w:rsid w:val="00470E80"/>
    <w:rsid w:val="00474A34"/>
    <w:rsid w:val="00487C7E"/>
    <w:rsid w:val="004A26BF"/>
    <w:rsid w:val="004A3346"/>
    <w:rsid w:val="004C0E81"/>
    <w:rsid w:val="004C2FBB"/>
    <w:rsid w:val="004C49FB"/>
    <w:rsid w:val="004D3867"/>
    <w:rsid w:val="004E6541"/>
    <w:rsid w:val="004F6436"/>
    <w:rsid w:val="00512EA6"/>
    <w:rsid w:val="005147CA"/>
    <w:rsid w:val="00515ACD"/>
    <w:rsid w:val="00523F38"/>
    <w:rsid w:val="00525EAD"/>
    <w:rsid w:val="0052750A"/>
    <w:rsid w:val="00562E14"/>
    <w:rsid w:val="00570CEB"/>
    <w:rsid w:val="00573F72"/>
    <w:rsid w:val="00575457"/>
    <w:rsid w:val="00576B2D"/>
    <w:rsid w:val="005840BB"/>
    <w:rsid w:val="00587005"/>
    <w:rsid w:val="005C1F46"/>
    <w:rsid w:val="005C29E1"/>
    <w:rsid w:val="005C55E2"/>
    <w:rsid w:val="005D1987"/>
    <w:rsid w:val="005D307C"/>
    <w:rsid w:val="005D789C"/>
    <w:rsid w:val="005E0957"/>
    <w:rsid w:val="005E2175"/>
    <w:rsid w:val="005F33B6"/>
    <w:rsid w:val="005F5FF9"/>
    <w:rsid w:val="00600B70"/>
    <w:rsid w:val="00615F2F"/>
    <w:rsid w:val="00617C29"/>
    <w:rsid w:val="00621136"/>
    <w:rsid w:val="006307B2"/>
    <w:rsid w:val="006435EC"/>
    <w:rsid w:val="00691CEF"/>
    <w:rsid w:val="006A3EE2"/>
    <w:rsid w:val="006A4D5E"/>
    <w:rsid w:val="006F454F"/>
    <w:rsid w:val="006F4804"/>
    <w:rsid w:val="006F5B7E"/>
    <w:rsid w:val="00713222"/>
    <w:rsid w:val="00724487"/>
    <w:rsid w:val="00724ABA"/>
    <w:rsid w:val="007330DA"/>
    <w:rsid w:val="007567BF"/>
    <w:rsid w:val="0077628E"/>
    <w:rsid w:val="007805D4"/>
    <w:rsid w:val="00782B30"/>
    <w:rsid w:val="007857CF"/>
    <w:rsid w:val="00792EDF"/>
    <w:rsid w:val="007A7A43"/>
    <w:rsid w:val="007B1DBF"/>
    <w:rsid w:val="007B20C2"/>
    <w:rsid w:val="007B214E"/>
    <w:rsid w:val="007B6ABE"/>
    <w:rsid w:val="007C39A2"/>
    <w:rsid w:val="007E10C4"/>
    <w:rsid w:val="007E7192"/>
    <w:rsid w:val="007F15AF"/>
    <w:rsid w:val="007F5CEC"/>
    <w:rsid w:val="00802ECB"/>
    <w:rsid w:val="008054FA"/>
    <w:rsid w:val="00810A62"/>
    <w:rsid w:val="00816AB9"/>
    <w:rsid w:val="0083113F"/>
    <w:rsid w:val="00850E08"/>
    <w:rsid w:val="00856DAB"/>
    <w:rsid w:val="0086149C"/>
    <w:rsid w:val="008A08EB"/>
    <w:rsid w:val="008B0C1F"/>
    <w:rsid w:val="008B1F52"/>
    <w:rsid w:val="008B41AB"/>
    <w:rsid w:val="008C247C"/>
    <w:rsid w:val="008F159A"/>
    <w:rsid w:val="008F4436"/>
    <w:rsid w:val="00915438"/>
    <w:rsid w:val="0092666F"/>
    <w:rsid w:val="009448F2"/>
    <w:rsid w:val="00961222"/>
    <w:rsid w:val="00976315"/>
    <w:rsid w:val="0097674D"/>
    <w:rsid w:val="00976C35"/>
    <w:rsid w:val="009B2690"/>
    <w:rsid w:val="009D6FB2"/>
    <w:rsid w:val="009E5CC4"/>
    <w:rsid w:val="009E6E00"/>
    <w:rsid w:val="00A01F2E"/>
    <w:rsid w:val="00A2201A"/>
    <w:rsid w:val="00A31532"/>
    <w:rsid w:val="00A3461E"/>
    <w:rsid w:val="00A367D4"/>
    <w:rsid w:val="00A4041D"/>
    <w:rsid w:val="00A43292"/>
    <w:rsid w:val="00A43A03"/>
    <w:rsid w:val="00A46A10"/>
    <w:rsid w:val="00A61AD7"/>
    <w:rsid w:val="00A64A07"/>
    <w:rsid w:val="00A7666D"/>
    <w:rsid w:val="00A81DC7"/>
    <w:rsid w:val="00AA1A8F"/>
    <w:rsid w:val="00AA6A51"/>
    <w:rsid w:val="00AC1510"/>
    <w:rsid w:val="00AC517F"/>
    <w:rsid w:val="00AD2469"/>
    <w:rsid w:val="00AD36BF"/>
    <w:rsid w:val="00AD3B49"/>
    <w:rsid w:val="00AE4585"/>
    <w:rsid w:val="00AF0BB7"/>
    <w:rsid w:val="00AF6B0A"/>
    <w:rsid w:val="00B01269"/>
    <w:rsid w:val="00B06234"/>
    <w:rsid w:val="00B12CE3"/>
    <w:rsid w:val="00B16BA7"/>
    <w:rsid w:val="00B355ED"/>
    <w:rsid w:val="00B43151"/>
    <w:rsid w:val="00B436DB"/>
    <w:rsid w:val="00B4710F"/>
    <w:rsid w:val="00B5293A"/>
    <w:rsid w:val="00B52EF2"/>
    <w:rsid w:val="00B56792"/>
    <w:rsid w:val="00B72A41"/>
    <w:rsid w:val="00B826A2"/>
    <w:rsid w:val="00B82AA5"/>
    <w:rsid w:val="00B83CFE"/>
    <w:rsid w:val="00B8474D"/>
    <w:rsid w:val="00BB38D5"/>
    <w:rsid w:val="00BB5944"/>
    <w:rsid w:val="00BD0F34"/>
    <w:rsid w:val="00BD4739"/>
    <w:rsid w:val="00BD7091"/>
    <w:rsid w:val="00BE023C"/>
    <w:rsid w:val="00BE11FF"/>
    <w:rsid w:val="00BE261A"/>
    <w:rsid w:val="00BE46FB"/>
    <w:rsid w:val="00BE6C18"/>
    <w:rsid w:val="00BF2C43"/>
    <w:rsid w:val="00BF6B16"/>
    <w:rsid w:val="00C06979"/>
    <w:rsid w:val="00C0768B"/>
    <w:rsid w:val="00C16AEA"/>
    <w:rsid w:val="00C2283F"/>
    <w:rsid w:val="00C3516E"/>
    <w:rsid w:val="00C574EF"/>
    <w:rsid w:val="00C65B54"/>
    <w:rsid w:val="00C845B1"/>
    <w:rsid w:val="00C908CD"/>
    <w:rsid w:val="00C97C54"/>
    <w:rsid w:val="00CA0A1E"/>
    <w:rsid w:val="00CA3FBC"/>
    <w:rsid w:val="00CA57FC"/>
    <w:rsid w:val="00CA62E1"/>
    <w:rsid w:val="00CB3A3A"/>
    <w:rsid w:val="00CE0228"/>
    <w:rsid w:val="00D146AD"/>
    <w:rsid w:val="00D250C8"/>
    <w:rsid w:val="00D3148E"/>
    <w:rsid w:val="00D42DF8"/>
    <w:rsid w:val="00D53737"/>
    <w:rsid w:val="00D70282"/>
    <w:rsid w:val="00D81B98"/>
    <w:rsid w:val="00D8320E"/>
    <w:rsid w:val="00D8582E"/>
    <w:rsid w:val="00D92F75"/>
    <w:rsid w:val="00DA0DF9"/>
    <w:rsid w:val="00DA45E8"/>
    <w:rsid w:val="00DA7A06"/>
    <w:rsid w:val="00DB23AD"/>
    <w:rsid w:val="00DC475E"/>
    <w:rsid w:val="00DE241D"/>
    <w:rsid w:val="00DE2709"/>
    <w:rsid w:val="00DE3A4D"/>
    <w:rsid w:val="00E05D02"/>
    <w:rsid w:val="00E11A1B"/>
    <w:rsid w:val="00E1514F"/>
    <w:rsid w:val="00E32DB2"/>
    <w:rsid w:val="00E52360"/>
    <w:rsid w:val="00E52D7C"/>
    <w:rsid w:val="00E64EBB"/>
    <w:rsid w:val="00E71DE2"/>
    <w:rsid w:val="00E75CE4"/>
    <w:rsid w:val="00E815BD"/>
    <w:rsid w:val="00E96500"/>
    <w:rsid w:val="00E97ED0"/>
    <w:rsid w:val="00EA3CFB"/>
    <w:rsid w:val="00EB3FAB"/>
    <w:rsid w:val="00EB4E79"/>
    <w:rsid w:val="00EC4FEF"/>
    <w:rsid w:val="00ED17BC"/>
    <w:rsid w:val="00EE158B"/>
    <w:rsid w:val="00EE2E09"/>
    <w:rsid w:val="00EE7AD2"/>
    <w:rsid w:val="00EF6702"/>
    <w:rsid w:val="00F21C71"/>
    <w:rsid w:val="00F417AF"/>
    <w:rsid w:val="00F42140"/>
    <w:rsid w:val="00F55774"/>
    <w:rsid w:val="00F608E5"/>
    <w:rsid w:val="00F67A64"/>
    <w:rsid w:val="00F727FE"/>
    <w:rsid w:val="00F7791D"/>
    <w:rsid w:val="00F875B1"/>
    <w:rsid w:val="00F933F8"/>
    <w:rsid w:val="00FB2745"/>
    <w:rsid w:val="00FC16C0"/>
    <w:rsid w:val="00FC47B7"/>
    <w:rsid w:val="00FC5215"/>
    <w:rsid w:val="00FE3C46"/>
    <w:rsid w:val="00FF4059"/>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E186"/>
  <w15:docId w15:val="{8A3265E8-681D-4530-88DE-B0410FA3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4EBB"/>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00B70"/>
    <w:pPr>
      <w:ind w:left="720"/>
      <w:contextualSpacing/>
    </w:pPr>
  </w:style>
  <w:style w:type="paragraph" w:styleId="Debesliotekstas">
    <w:name w:val="Balloon Text"/>
    <w:basedOn w:val="prastasis"/>
    <w:link w:val="DebesliotekstasDiagrama"/>
    <w:uiPriority w:val="99"/>
    <w:semiHidden/>
    <w:unhideWhenUsed/>
    <w:rsid w:val="0077628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628E"/>
    <w:rPr>
      <w:rFonts w:ascii="Segoe UI" w:eastAsia="Times New Roman" w:hAnsi="Segoe UI" w:cs="Segoe UI"/>
      <w:sz w:val="18"/>
      <w:szCs w:val="18"/>
      <w:lang w:val="lt-LT" w:eastAsia="lt-LT"/>
    </w:rPr>
  </w:style>
  <w:style w:type="character" w:customStyle="1" w:styleId="FontStyle101">
    <w:name w:val="Font Style101"/>
    <w:uiPriority w:val="99"/>
    <w:rsid w:val="00F727FE"/>
    <w:rPr>
      <w:rFonts w:ascii="Times New Roman" w:hAnsi="Times New Roman" w:cs="Times New Roman"/>
      <w:sz w:val="30"/>
      <w:szCs w:val="30"/>
    </w:rPr>
  </w:style>
  <w:style w:type="character" w:customStyle="1" w:styleId="FontStyle107">
    <w:name w:val="Font Style107"/>
    <w:uiPriority w:val="99"/>
    <w:rsid w:val="00F727FE"/>
    <w:rPr>
      <w:rFonts w:ascii="Times New Roman" w:hAnsi="Times New Roman" w:cs="Times New Roman"/>
      <w:sz w:val="34"/>
      <w:szCs w:val="34"/>
    </w:rPr>
  </w:style>
  <w:style w:type="paragraph" w:styleId="Antrats">
    <w:name w:val="header"/>
    <w:basedOn w:val="prastasis"/>
    <w:link w:val="AntratsDiagrama"/>
    <w:uiPriority w:val="99"/>
    <w:unhideWhenUsed/>
    <w:rsid w:val="00B436DB"/>
    <w:pPr>
      <w:tabs>
        <w:tab w:val="center" w:pos="4680"/>
        <w:tab w:val="right" w:pos="9360"/>
      </w:tabs>
    </w:pPr>
  </w:style>
  <w:style w:type="character" w:customStyle="1" w:styleId="AntratsDiagrama">
    <w:name w:val="Antraštės Diagrama"/>
    <w:basedOn w:val="Numatytasispastraiposriftas"/>
    <w:link w:val="Antrats"/>
    <w:uiPriority w:val="99"/>
    <w:rsid w:val="00B436DB"/>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B436DB"/>
    <w:pPr>
      <w:tabs>
        <w:tab w:val="center" w:pos="4680"/>
        <w:tab w:val="right" w:pos="9360"/>
      </w:tabs>
    </w:pPr>
  </w:style>
  <w:style w:type="character" w:customStyle="1" w:styleId="PoratDiagrama">
    <w:name w:val="Poraštė Diagrama"/>
    <w:basedOn w:val="Numatytasispastraiposriftas"/>
    <w:link w:val="Porat"/>
    <w:uiPriority w:val="99"/>
    <w:rsid w:val="00B436DB"/>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616">
      <w:bodyDiv w:val="1"/>
      <w:marLeft w:val="0"/>
      <w:marRight w:val="0"/>
      <w:marTop w:val="0"/>
      <w:marBottom w:val="0"/>
      <w:divBdr>
        <w:top w:val="none" w:sz="0" w:space="0" w:color="auto"/>
        <w:left w:val="none" w:sz="0" w:space="0" w:color="auto"/>
        <w:bottom w:val="none" w:sz="0" w:space="0" w:color="auto"/>
        <w:right w:val="none" w:sz="0" w:space="0" w:color="auto"/>
      </w:divBdr>
    </w:div>
    <w:div w:id="884440272">
      <w:bodyDiv w:val="1"/>
      <w:marLeft w:val="0"/>
      <w:marRight w:val="0"/>
      <w:marTop w:val="0"/>
      <w:marBottom w:val="0"/>
      <w:divBdr>
        <w:top w:val="none" w:sz="0" w:space="0" w:color="auto"/>
        <w:left w:val="none" w:sz="0" w:space="0" w:color="auto"/>
        <w:bottom w:val="none" w:sz="0" w:space="0" w:color="auto"/>
        <w:right w:val="none" w:sz="0" w:space="0" w:color="auto"/>
      </w:divBdr>
    </w:div>
    <w:div w:id="13931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F18D3-D986-45FF-9B1D-F0310F78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3275</Words>
  <Characters>1868</Characters>
  <Application>Microsoft Office Word</Application>
  <DocSecurity>4</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Zita</cp:lastModifiedBy>
  <cp:revision>2</cp:revision>
  <cp:lastPrinted>2023-04-18T09:59:00Z</cp:lastPrinted>
  <dcterms:created xsi:type="dcterms:W3CDTF">2023-08-04T07:08:00Z</dcterms:created>
  <dcterms:modified xsi:type="dcterms:W3CDTF">2023-08-04T07:08:00Z</dcterms:modified>
</cp:coreProperties>
</file>